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289F20" w14:textId="77777777" w:rsidR="00610C32" w:rsidRPr="00ED6145" w:rsidRDefault="00186307" w:rsidP="00DB2B12">
      <w:pPr>
        <w:pStyle w:val="1"/>
        <w:spacing w:before="100" w:beforeAutospacing="1" w:after="100" w:afterAutospacing="1"/>
        <w:jc w:val="center"/>
        <w:rPr>
          <w:rFonts w:ascii="黑体" w:eastAsia="黑体" w:hAnsi="黑体" w:cstheme="minorBidi"/>
          <w:color w:val="auto"/>
          <w:kern w:val="2"/>
          <w:sz w:val="36"/>
          <w:szCs w:val="36"/>
        </w:rPr>
      </w:pPr>
      <w:bookmarkStart w:id="0" w:name="海水养殖鲑鳟鱼重要疫病监测技术规范团体标准编制说明"/>
      <w:r w:rsidRPr="00ED6145">
        <w:rPr>
          <w:rFonts w:ascii="黑体" w:eastAsia="黑体" w:hAnsi="黑体" w:cstheme="minorBidi" w:hint="eastAsia"/>
          <w:color w:val="auto"/>
          <w:kern w:val="2"/>
          <w:sz w:val="36"/>
          <w:szCs w:val="36"/>
        </w:rPr>
        <w:t>《海水养殖鲑鳟鱼重要疫病监测技术规范》编制说明</w:t>
      </w:r>
    </w:p>
    <w:p w14:paraId="7B6D79EB" w14:textId="77777777" w:rsidR="00610C32" w:rsidRPr="00ED6145" w:rsidRDefault="00186307" w:rsidP="00DB2B12">
      <w:pPr>
        <w:pStyle w:val="2"/>
        <w:spacing w:before="100" w:beforeAutospacing="1" w:after="100" w:afterAutospacing="1"/>
        <w:jc w:val="both"/>
        <w:rPr>
          <w:rFonts w:ascii="华文宋体" w:eastAsia="华文宋体" w:hAnsi="华文宋体"/>
          <w:b/>
          <w:color w:val="auto"/>
          <w:sz w:val="30"/>
          <w:szCs w:val="30"/>
        </w:rPr>
      </w:pPr>
      <w:bookmarkStart w:id="1" w:name="一-工作简况"/>
      <w:r w:rsidRPr="00ED6145">
        <w:rPr>
          <w:rFonts w:ascii="华文宋体" w:eastAsia="华文宋体" w:hAnsi="华文宋体" w:hint="eastAsia"/>
          <w:b/>
          <w:color w:val="auto"/>
          <w:sz w:val="30"/>
          <w:szCs w:val="30"/>
        </w:rPr>
        <w:t>一、</w:t>
      </w:r>
      <w:r w:rsidRPr="00ED6145">
        <w:rPr>
          <w:rFonts w:ascii="华文宋体" w:eastAsia="华文宋体" w:hAnsi="华文宋体"/>
          <w:b/>
          <w:color w:val="auto"/>
          <w:sz w:val="30"/>
          <w:szCs w:val="30"/>
        </w:rPr>
        <w:t xml:space="preserve"> </w:t>
      </w:r>
      <w:r w:rsidRPr="00ED6145">
        <w:rPr>
          <w:rFonts w:ascii="华文宋体" w:eastAsia="华文宋体" w:hAnsi="华文宋体" w:hint="eastAsia"/>
          <w:b/>
          <w:color w:val="auto"/>
          <w:sz w:val="30"/>
          <w:szCs w:val="30"/>
        </w:rPr>
        <w:t>工作简况</w:t>
      </w:r>
    </w:p>
    <w:p w14:paraId="31EB30C5" w14:textId="77777777" w:rsidR="00610C32" w:rsidRPr="00AF0151" w:rsidRDefault="00186307" w:rsidP="00DB2B12">
      <w:pPr>
        <w:pStyle w:val="3"/>
        <w:spacing w:before="100" w:beforeAutospacing="1" w:after="100" w:afterAutospacing="1"/>
        <w:jc w:val="both"/>
        <w:rPr>
          <w:rFonts w:ascii="仿宋" w:eastAsia="仿宋" w:hAnsi="仿宋"/>
          <w:b/>
          <w:color w:val="auto"/>
          <w:sz w:val="32"/>
          <w:szCs w:val="32"/>
        </w:rPr>
      </w:pPr>
      <w:bookmarkStart w:id="2" w:name="任务来源与编制背景"/>
      <w:r w:rsidRPr="00AF0151">
        <w:rPr>
          <w:rFonts w:ascii="仿宋" w:eastAsia="仿宋" w:hAnsi="仿宋"/>
          <w:b/>
          <w:color w:val="auto"/>
          <w:sz w:val="32"/>
          <w:szCs w:val="32"/>
        </w:rPr>
        <w:t xml:space="preserve">1. </w:t>
      </w:r>
      <w:r w:rsidRPr="00AF0151">
        <w:rPr>
          <w:rFonts w:ascii="仿宋" w:eastAsia="仿宋" w:hAnsi="仿宋" w:hint="eastAsia"/>
          <w:b/>
          <w:color w:val="auto"/>
          <w:sz w:val="32"/>
          <w:szCs w:val="32"/>
        </w:rPr>
        <w:t>任务来源</w:t>
      </w:r>
    </w:p>
    <w:p w14:paraId="26BACDE9"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cs="Times New Roman"/>
          <w:kern w:val="2"/>
          <w:sz w:val="32"/>
          <w:szCs w:val="32"/>
        </w:rPr>
      </w:pPr>
      <w:r w:rsidRPr="00AF0151">
        <w:rPr>
          <w:rFonts w:ascii="仿宋" w:eastAsia="仿宋" w:hAnsi="仿宋" w:cs="Times New Roman" w:hint="eastAsia"/>
          <w:kern w:val="2"/>
          <w:sz w:val="32"/>
          <w:szCs w:val="32"/>
        </w:rPr>
        <w:t>根据《中国渔业协会团体标准管理办法》（T/CFA）的相关规定</w:t>
      </w:r>
      <w:r w:rsidR="005F7B7E" w:rsidRPr="00AF0151">
        <w:rPr>
          <w:rFonts w:ascii="仿宋" w:eastAsia="仿宋" w:hAnsi="仿宋" w:cs="Times New Roman" w:hint="eastAsia"/>
          <w:kern w:val="2"/>
          <w:sz w:val="32"/>
          <w:szCs w:val="32"/>
        </w:rPr>
        <w:t>，应</w:t>
      </w:r>
      <w:proofErr w:type="gramStart"/>
      <w:r w:rsidR="005F7B7E" w:rsidRPr="00AF0151">
        <w:rPr>
          <w:rFonts w:ascii="仿宋" w:eastAsia="仿宋" w:hAnsi="仿宋" w:cs="Times New Roman" w:hint="eastAsia"/>
          <w:kern w:val="2"/>
          <w:sz w:val="32"/>
          <w:szCs w:val="32"/>
        </w:rPr>
        <w:t>鲑</w:t>
      </w:r>
      <w:proofErr w:type="gramEnd"/>
      <w:r w:rsidR="005F7B7E" w:rsidRPr="00AF0151">
        <w:rPr>
          <w:rFonts w:ascii="仿宋" w:eastAsia="仿宋" w:hAnsi="仿宋" w:cs="Times New Roman" w:hint="eastAsia"/>
          <w:kern w:val="2"/>
          <w:sz w:val="32"/>
          <w:szCs w:val="32"/>
        </w:rPr>
        <w:t>鳟鱼养殖产业</w:t>
      </w:r>
      <w:r w:rsidR="00AC4954" w:rsidRPr="00AF0151">
        <w:rPr>
          <w:rFonts w:ascii="仿宋" w:eastAsia="仿宋" w:hAnsi="仿宋" w:cs="Times New Roman" w:hint="eastAsia"/>
          <w:kern w:val="2"/>
          <w:sz w:val="32"/>
          <w:szCs w:val="32"/>
        </w:rPr>
        <w:t>对疫病病原监测技术的</w:t>
      </w:r>
      <w:r w:rsidR="005F7B7E" w:rsidRPr="00AF0151">
        <w:rPr>
          <w:rFonts w:ascii="仿宋" w:eastAsia="仿宋" w:hAnsi="仿宋" w:cs="Times New Roman" w:hint="eastAsia"/>
          <w:kern w:val="2"/>
          <w:sz w:val="32"/>
          <w:szCs w:val="32"/>
        </w:rPr>
        <w:t>需求</w:t>
      </w:r>
      <w:r w:rsidRPr="00AF0151">
        <w:rPr>
          <w:rFonts w:ascii="仿宋" w:eastAsia="仿宋" w:hAnsi="仿宋" w:cs="Times New Roman" w:hint="eastAsia"/>
          <w:kern w:val="2"/>
          <w:sz w:val="32"/>
          <w:szCs w:val="32"/>
        </w:rPr>
        <w:t>，</w:t>
      </w:r>
      <w:r w:rsidR="00676EFC" w:rsidRPr="00AF0151">
        <w:rPr>
          <w:rFonts w:ascii="仿宋" w:eastAsia="仿宋" w:hAnsi="仿宋" w:cs="Times New Roman" w:hint="eastAsia"/>
          <w:kern w:val="2"/>
          <w:sz w:val="32"/>
          <w:szCs w:val="32"/>
        </w:rPr>
        <w:t>受日照市海洋发展局委托，</w:t>
      </w:r>
      <w:r w:rsidR="005F7B7E" w:rsidRPr="00AF0151">
        <w:rPr>
          <w:rFonts w:ascii="仿宋" w:eastAsia="仿宋" w:hAnsi="仿宋" w:cs="Times New Roman" w:hint="eastAsia"/>
          <w:kern w:val="2"/>
          <w:sz w:val="32"/>
          <w:szCs w:val="32"/>
        </w:rPr>
        <w:t>中国渔业协会于</w:t>
      </w:r>
      <w:r w:rsidR="005F7B7E" w:rsidRPr="00AF0151">
        <w:rPr>
          <w:rFonts w:ascii="仿宋" w:eastAsia="仿宋" w:hAnsi="仿宋" w:cs="Times New Roman"/>
          <w:kern w:val="2"/>
          <w:sz w:val="32"/>
          <w:szCs w:val="32"/>
        </w:rPr>
        <w:t>2026</w:t>
      </w:r>
      <w:r w:rsidR="005F7B7E" w:rsidRPr="00AF0151">
        <w:rPr>
          <w:rFonts w:ascii="仿宋" w:eastAsia="仿宋" w:hAnsi="仿宋" w:cs="Times New Roman" w:hint="eastAsia"/>
          <w:kern w:val="2"/>
          <w:sz w:val="32"/>
          <w:szCs w:val="32"/>
        </w:rPr>
        <w:t>年</w:t>
      </w:r>
      <w:r w:rsidR="005F7B7E" w:rsidRPr="00AF0151">
        <w:rPr>
          <w:rFonts w:ascii="仿宋" w:eastAsia="仿宋" w:hAnsi="仿宋" w:cs="Times New Roman"/>
          <w:kern w:val="2"/>
          <w:sz w:val="32"/>
          <w:szCs w:val="32"/>
        </w:rPr>
        <w:t>4月13</w:t>
      </w:r>
      <w:r w:rsidR="005F7B7E" w:rsidRPr="00AF0151">
        <w:rPr>
          <w:rFonts w:ascii="仿宋" w:eastAsia="仿宋" w:hAnsi="仿宋" w:cs="Times New Roman" w:hint="eastAsia"/>
          <w:kern w:val="2"/>
          <w:sz w:val="32"/>
          <w:szCs w:val="32"/>
        </w:rPr>
        <w:t>日组织专家评审通过了由中国水产科学研究院</w:t>
      </w:r>
      <w:r w:rsidR="00AC4954" w:rsidRPr="00AF0151">
        <w:rPr>
          <w:rFonts w:ascii="仿宋" w:eastAsia="仿宋" w:hAnsi="仿宋" w:cs="Times New Roman" w:hint="eastAsia"/>
          <w:kern w:val="2"/>
          <w:sz w:val="32"/>
          <w:szCs w:val="32"/>
        </w:rPr>
        <w:t>黄海水产研究所牵头起草的</w:t>
      </w:r>
      <w:r w:rsidRPr="00AF0151">
        <w:rPr>
          <w:rFonts w:ascii="仿宋" w:eastAsia="仿宋" w:hAnsi="仿宋" w:cs="Times New Roman" w:hint="eastAsia"/>
          <w:kern w:val="2"/>
          <w:sz w:val="32"/>
          <w:szCs w:val="32"/>
        </w:rPr>
        <w:t>《海水养殖鲑鳟鱼重要疫病监测技术规范》团体标准立项申请。旨在通过标准化手段，为我国海水</w:t>
      </w:r>
      <w:proofErr w:type="gramStart"/>
      <w:r w:rsidRPr="00AF0151">
        <w:rPr>
          <w:rFonts w:ascii="仿宋" w:eastAsia="仿宋" w:hAnsi="仿宋" w:cs="Times New Roman" w:hint="eastAsia"/>
          <w:kern w:val="2"/>
          <w:sz w:val="32"/>
          <w:szCs w:val="32"/>
        </w:rPr>
        <w:t>鲑</w:t>
      </w:r>
      <w:proofErr w:type="gramEnd"/>
      <w:r w:rsidRPr="00AF0151">
        <w:rPr>
          <w:rFonts w:ascii="仿宋" w:eastAsia="仿宋" w:hAnsi="仿宋" w:cs="Times New Roman" w:hint="eastAsia"/>
          <w:kern w:val="2"/>
          <w:sz w:val="32"/>
          <w:szCs w:val="32"/>
        </w:rPr>
        <w:t>鳟鱼养殖业建立一套科学、精准、可操作的早期疫病预警与监测技术体系，</w:t>
      </w:r>
      <w:proofErr w:type="gramStart"/>
      <w:r w:rsidRPr="00AF0151">
        <w:rPr>
          <w:rFonts w:ascii="仿宋" w:eastAsia="仿宋" w:hAnsi="仿宋" w:cs="Times New Roman" w:hint="eastAsia"/>
          <w:kern w:val="2"/>
          <w:sz w:val="32"/>
          <w:szCs w:val="32"/>
        </w:rPr>
        <w:t>助力保障</w:t>
      </w:r>
      <w:proofErr w:type="gramEnd"/>
      <w:r w:rsidRPr="00AF0151">
        <w:rPr>
          <w:rFonts w:ascii="仿宋" w:eastAsia="仿宋" w:hAnsi="仿宋" w:cs="Times New Roman" w:hint="eastAsia"/>
          <w:kern w:val="2"/>
          <w:sz w:val="32"/>
          <w:szCs w:val="32"/>
        </w:rPr>
        <w:t>国家水产种业安全，推动我国海洋渔业向高质量、绿色可持续方向发展。</w:t>
      </w:r>
    </w:p>
    <w:p w14:paraId="677A1D0A" w14:textId="77777777" w:rsidR="00610C32" w:rsidRPr="00AF0151" w:rsidRDefault="00186307" w:rsidP="00DB2B12">
      <w:pPr>
        <w:pStyle w:val="3"/>
        <w:spacing w:before="100" w:beforeAutospacing="1" w:after="100" w:afterAutospacing="1"/>
        <w:jc w:val="both"/>
        <w:rPr>
          <w:rFonts w:ascii="仿宋" w:eastAsia="仿宋" w:hAnsi="仿宋"/>
          <w:b/>
          <w:color w:val="auto"/>
          <w:sz w:val="32"/>
          <w:szCs w:val="32"/>
        </w:rPr>
      </w:pPr>
      <w:r w:rsidRPr="00AF0151">
        <w:rPr>
          <w:rFonts w:ascii="仿宋" w:eastAsia="仿宋" w:hAnsi="仿宋" w:hint="eastAsia"/>
          <w:b/>
          <w:color w:val="auto"/>
          <w:sz w:val="32"/>
          <w:szCs w:val="32"/>
        </w:rPr>
        <w:t>2</w:t>
      </w:r>
      <w:r w:rsidRPr="00AF0151">
        <w:rPr>
          <w:rFonts w:ascii="仿宋" w:eastAsia="仿宋" w:hAnsi="仿宋"/>
          <w:b/>
          <w:color w:val="auto"/>
          <w:sz w:val="32"/>
          <w:szCs w:val="32"/>
        </w:rPr>
        <w:t xml:space="preserve">. </w:t>
      </w:r>
      <w:r w:rsidRPr="00AF0151">
        <w:rPr>
          <w:rFonts w:ascii="仿宋" w:eastAsia="仿宋" w:hAnsi="仿宋" w:hint="eastAsia"/>
          <w:b/>
          <w:color w:val="auto"/>
          <w:sz w:val="32"/>
          <w:szCs w:val="32"/>
        </w:rPr>
        <w:t>制定背景</w:t>
      </w:r>
    </w:p>
    <w:p w14:paraId="52B8E7B7"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进入二十一世纪以来，全球水产养殖业正经历着从近海浅水区向深远海域转移的深刻历史性变革。作为具有极高经济价值和全球贸易属性的冷水性鱼类，</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鳟鱼（Salmon</w:t>
      </w:r>
      <w:r w:rsidRPr="00AF0151">
        <w:rPr>
          <w:rFonts w:ascii="仿宋" w:eastAsia="仿宋" w:hAnsi="仿宋"/>
          <w:sz w:val="32"/>
          <w:szCs w:val="32"/>
        </w:rPr>
        <w:t xml:space="preserve"> and </w:t>
      </w:r>
      <w:r w:rsidRPr="00AF0151">
        <w:rPr>
          <w:rFonts w:ascii="仿宋" w:eastAsia="仿宋" w:hAnsi="仿宋" w:hint="eastAsia"/>
          <w:sz w:val="32"/>
          <w:szCs w:val="32"/>
        </w:rPr>
        <w:t>Trout，主要包括大西洋</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w:t>
      </w:r>
      <w:r w:rsidRPr="00AF0151">
        <w:rPr>
          <w:rFonts w:ascii="仿宋" w:eastAsia="仿宋" w:hAnsi="仿宋"/>
          <w:i/>
          <w:iCs/>
          <w:sz w:val="32"/>
          <w:szCs w:val="32"/>
        </w:rPr>
        <w:t xml:space="preserve">Salmo </w:t>
      </w:r>
      <w:proofErr w:type="spellStart"/>
      <w:r w:rsidRPr="00AF0151">
        <w:rPr>
          <w:rFonts w:ascii="仿宋" w:eastAsia="仿宋" w:hAnsi="仿宋"/>
          <w:i/>
          <w:iCs/>
          <w:sz w:val="32"/>
          <w:szCs w:val="32"/>
        </w:rPr>
        <w:t>salar</w:t>
      </w:r>
      <w:proofErr w:type="spellEnd"/>
      <w:r w:rsidRPr="00AF0151">
        <w:rPr>
          <w:rFonts w:ascii="仿宋" w:eastAsia="仿宋" w:hAnsi="仿宋" w:hint="eastAsia"/>
          <w:sz w:val="32"/>
          <w:szCs w:val="32"/>
        </w:rPr>
        <w:t>）、虹鳟（</w:t>
      </w:r>
      <w:r w:rsidRPr="00AF0151">
        <w:rPr>
          <w:rFonts w:ascii="仿宋" w:eastAsia="仿宋" w:hAnsi="仿宋"/>
          <w:i/>
          <w:iCs/>
          <w:sz w:val="32"/>
          <w:szCs w:val="32"/>
        </w:rPr>
        <w:t>Oncorhynchus mykiss</w:t>
      </w:r>
      <w:r w:rsidRPr="00AF0151">
        <w:rPr>
          <w:rFonts w:ascii="仿宋" w:eastAsia="仿宋" w:hAnsi="仿宋" w:hint="eastAsia"/>
          <w:sz w:val="32"/>
          <w:szCs w:val="32"/>
        </w:rPr>
        <w:t>）等）的海洋养殖规模在全球范围内迅速扩张。我国海水养殖业积极响应“十四五”全国渔业发展规划中关于“优化近海绿色养殖，拓展深远海养殖”的战略导向，海洋牧场建设突飞猛进，深远海养殖获得长足发展。以“深蓝1号”深水网箱、“国信1号”十万吨级大型</w:t>
      </w:r>
      <w:proofErr w:type="gramStart"/>
      <w:r w:rsidRPr="00AF0151">
        <w:rPr>
          <w:rFonts w:ascii="仿宋" w:eastAsia="仿宋" w:hAnsi="仿宋" w:hint="eastAsia"/>
          <w:sz w:val="32"/>
          <w:szCs w:val="32"/>
        </w:rPr>
        <w:t>养殖工船为</w:t>
      </w:r>
      <w:proofErr w:type="gramEnd"/>
      <w:r w:rsidRPr="00AF0151">
        <w:rPr>
          <w:rFonts w:ascii="仿宋" w:eastAsia="仿宋" w:hAnsi="仿宋" w:hint="eastAsia"/>
          <w:sz w:val="32"/>
          <w:szCs w:val="32"/>
        </w:rPr>
        <w:t>代表的现代化海水养殖模式取得了历史性突破，标志着我国海洋渔业正式阔步挺进“深蓝”水域。在这些探索中，我国已成功在深远海试验区内实现大规格</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鳟鱼的规模化养殖，</w:t>
      </w:r>
      <w:proofErr w:type="gramStart"/>
      <w:r w:rsidRPr="00AF0151">
        <w:rPr>
          <w:rFonts w:ascii="仿宋" w:eastAsia="仿宋" w:hAnsi="仿宋" w:hint="eastAsia"/>
          <w:sz w:val="32"/>
          <w:szCs w:val="32"/>
        </w:rPr>
        <w:t>单鱼平均</w:t>
      </w:r>
      <w:proofErr w:type="gramEnd"/>
      <w:r w:rsidRPr="00AF0151">
        <w:rPr>
          <w:rFonts w:ascii="仿宋" w:eastAsia="仿宋" w:hAnsi="仿宋" w:hint="eastAsia"/>
          <w:sz w:val="32"/>
          <w:szCs w:val="32"/>
        </w:rPr>
        <w:t>重量、肉质指标等均达到甚至超越了国际优质产品标准</w:t>
      </w:r>
      <w:r w:rsidRPr="00AF0151">
        <w:rPr>
          <w:rFonts w:ascii="仿宋" w:eastAsia="仿宋" w:hAnsi="仿宋"/>
          <w:sz w:val="32"/>
          <w:szCs w:val="32"/>
        </w:rPr>
        <w:t>。</w:t>
      </w:r>
    </w:p>
    <w:p w14:paraId="1A9E4494" w14:textId="77777777" w:rsidR="00610C32" w:rsidRPr="00AF0151" w:rsidRDefault="00186307" w:rsidP="00DB2B12">
      <w:pPr>
        <w:pStyle w:val="a1"/>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lastRenderedPageBreak/>
        <w:t>然而，伴随着海水养殖规模的几何</w:t>
      </w:r>
      <w:proofErr w:type="gramStart"/>
      <w:r w:rsidRPr="00AF0151">
        <w:rPr>
          <w:rFonts w:ascii="仿宋" w:eastAsia="仿宋" w:hAnsi="仿宋" w:hint="eastAsia"/>
          <w:sz w:val="32"/>
          <w:szCs w:val="32"/>
        </w:rPr>
        <w:t>级扩大</w:t>
      </w:r>
      <w:proofErr w:type="gramEnd"/>
      <w:r w:rsidRPr="00AF0151">
        <w:rPr>
          <w:rFonts w:ascii="仿宋" w:eastAsia="仿宋" w:hAnsi="仿宋" w:hint="eastAsia"/>
          <w:sz w:val="32"/>
          <w:szCs w:val="32"/>
        </w:rPr>
        <w:t>和集约化程度的空前提升，</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鳟鱼在入海适应期及漫长的海洋养成期所面临的疫病风险亦呈</w:t>
      </w:r>
      <w:proofErr w:type="gramStart"/>
      <w:r w:rsidRPr="00AF0151">
        <w:rPr>
          <w:rFonts w:ascii="仿宋" w:eastAsia="仿宋" w:hAnsi="仿宋" w:hint="eastAsia"/>
          <w:sz w:val="32"/>
          <w:szCs w:val="32"/>
        </w:rPr>
        <w:t>指数级</w:t>
      </w:r>
      <w:proofErr w:type="gramEnd"/>
      <w:r w:rsidRPr="00AF0151">
        <w:rPr>
          <w:rFonts w:ascii="仿宋" w:eastAsia="仿宋" w:hAnsi="仿宋" w:hint="eastAsia"/>
          <w:sz w:val="32"/>
          <w:szCs w:val="32"/>
        </w:rPr>
        <w:t>上升。与传统的陆基淡水流水养殖相比，广阔的海洋环境虽然水体交换量大，但其蕴含的潜在病原</w:t>
      </w:r>
      <w:proofErr w:type="gramStart"/>
      <w:r w:rsidRPr="00AF0151">
        <w:rPr>
          <w:rFonts w:ascii="仿宋" w:eastAsia="仿宋" w:hAnsi="仿宋" w:hint="eastAsia"/>
          <w:sz w:val="32"/>
          <w:szCs w:val="32"/>
        </w:rPr>
        <w:t>谱更为</w:t>
      </w:r>
      <w:proofErr w:type="gramEnd"/>
      <w:r w:rsidRPr="00AF0151">
        <w:rPr>
          <w:rFonts w:ascii="仿宋" w:eastAsia="仿宋" w:hAnsi="仿宋" w:hint="eastAsia"/>
          <w:sz w:val="32"/>
          <w:szCs w:val="32"/>
        </w:rPr>
        <w:t>复杂。深水网箱和</w:t>
      </w:r>
      <w:proofErr w:type="gramStart"/>
      <w:r w:rsidRPr="00AF0151">
        <w:rPr>
          <w:rFonts w:ascii="仿宋" w:eastAsia="仿宋" w:hAnsi="仿宋" w:hint="eastAsia"/>
          <w:sz w:val="32"/>
          <w:szCs w:val="32"/>
        </w:rPr>
        <w:t>养殖工船的</w:t>
      </w:r>
      <w:proofErr w:type="gramEnd"/>
      <w:r w:rsidRPr="00AF0151">
        <w:rPr>
          <w:rFonts w:ascii="仿宋" w:eastAsia="仿宋" w:hAnsi="仿宋" w:hint="eastAsia"/>
          <w:sz w:val="32"/>
          <w:szCs w:val="32"/>
        </w:rPr>
        <w:t>高密度、大水体特性，意味着一旦局部暴发高致病性传染病，其病原将随着洋流、共用网具或操作人员迅速在流行病学单元内横向扩散，传播速度极快、扑灭难度极大，甚至可能给企业带来毁灭性的养殖鱼类损失。临床流行病学调查与国内外生产实践表明，传染性造血器官坏死病（</w:t>
      </w:r>
      <w:r w:rsidRPr="00AF0151">
        <w:rPr>
          <w:rFonts w:ascii="仿宋" w:eastAsia="仿宋" w:hAnsi="仿宋"/>
          <w:sz w:val="32"/>
          <w:szCs w:val="32"/>
        </w:rPr>
        <w:t>infectious hematopoietic necrosis</w:t>
      </w:r>
      <w:r w:rsidRPr="00AF0151">
        <w:rPr>
          <w:rFonts w:ascii="仿宋" w:eastAsia="仿宋" w:hAnsi="仿宋" w:hint="eastAsia"/>
          <w:sz w:val="32"/>
          <w:szCs w:val="32"/>
        </w:rPr>
        <w:t>，IHN）、传染性胰脏坏死病（</w:t>
      </w:r>
      <w:r w:rsidRPr="00AF0151">
        <w:rPr>
          <w:rFonts w:ascii="仿宋" w:eastAsia="仿宋" w:hAnsi="仿宋"/>
          <w:sz w:val="32"/>
          <w:szCs w:val="32"/>
        </w:rPr>
        <w:t>infectious pancreatic necrosis</w:t>
      </w:r>
      <w:r w:rsidRPr="00AF0151">
        <w:rPr>
          <w:rFonts w:ascii="仿宋" w:eastAsia="仿宋" w:hAnsi="仿宋" w:hint="eastAsia"/>
          <w:sz w:val="32"/>
          <w:szCs w:val="32"/>
        </w:rPr>
        <w:t>，IPN）、病毒性出血性败血症（</w:t>
      </w:r>
      <w:r w:rsidRPr="00AF0151">
        <w:rPr>
          <w:rFonts w:ascii="仿宋" w:eastAsia="仿宋" w:hAnsi="仿宋"/>
          <w:sz w:val="32"/>
          <w:szCs w:val="32"/>
        </w:rPr>
        <w:t>viral hemorrhagic septicemia</w:t>
      </w:r>
      <w:r w:rsidRPr="00AF0151">
        <w:rPr>
          <w:rFonts w:ascii="仿宋" w:eastAsia="仿宋" w:hAnsi="仿宋" w:hint="eastAsia"/>
          <w:sz w:val="32"/>
          <w:szCs w:val="32"/>
        </w:rPr>
        <w:t>，VHS）、</w:t>
      </w:r>
      <w:proofErr w:type="gramStart"/>
      <w:r w:rsidR="00AC4954" w:rsidRPr="00AF0151">
        <w:rPr>
          <w:rFonts w:ascii="仿宋" w:eastAsia="仿宋" w:hAnsi="仿宋" w:hint="eastAsia"/>
          <w:sz w:val="32"/>
          <w:szCs w:val="32"/>
        </w:rPr>
        <w:t>鲑</w:t>
      </w:r>
      <w:proofErr w:type="gramEnd"/>
      <w:r w:rsidR="00AC4954" w:rsidRPr="00AF0151">
        <w:rPr>
          <w:rFonts w:ascii="仿宋" w:eastAsia="仿宋" w:hAnsi="仿宋" w:hint="eastAsia"/>
          <w:sz w:val="32"/>
          <w:szCs w:val="32"/>
        </w:rPr>
        <w:t>甲病毒病（SA）、传染性鲑鱼贫血病（</w:t>
      </w:r>
      <w:r w:rsidR="00AC4954" w:rsidRPr="00AF0151">
        <w:rPr>
          <w:rFonts w:ascii="仿宋" w:eastAsia="仿宋" w:hAnsi="仿宋"/>
          <w:sz w:val="32"/>
          <w:szCs w:val="32"/>
        </w:rPr>
        <w:t xml:space="preserve">infectious salmon </w:t>
      </w:r>
      <w:proofErr w:type="spellStart"/>
      <w:r w:rsidR="00AC4954" w:rsidRPr="00AF0151">
        <w:rPr>
          <w:rFonts w:ascii="仿宋" w:eastAsia="仿宋" w:hAnsi="仿宋"/>
          <w:sz w:val="32"/>
          <w:szCs w:val="32"/>
        </w:rPr>
        <w:t>anaemia</w:t>
      </w:r>
      <w:proofErr w:type="spellEnd"/>
      <w:r w:rsidR="00AC4954" w:rsidRPr="00AF0151">
        <w:rPr>
          <w:rFonts w:ascii="仿宋" w:eastAsia="仿宋" w:hAnsi="仿宋" w:hint="eastAsia"/>
          <w:sz w:val="32"/>
          <w:szCs w:val="32"/>
        </w:rPr>
        <w:t>，ISA）、流行性造血器官坏死病（</w:t>
      </w:r>
      <w:r w:rsidR="00AC4954" w:rsidRPr="00AF0151">
        <w:rPr>
          <w:rFonts w:ascii="仿宋" w:eastAsia="仿宋" w:hAnsi="仿宋"/>
          <w:sz w:val="32"/>
          <w:szCs w:val="32"/>
        </w:rPr>
        <w:t>epizootic hematopoietic necrosis</w:t>
      </w:r>
      <w:r w:rsidR="00AC4954" w:rsidRPr="00AF0151">
        <w:rPr>
          <w:rFonts w:ascii="仿宋" w:eastAsia="仿宋" w:hAnsi="仿宋" w:hint="eastAsia"/>
          <w:sz w:val="32"/>
          <w:szCs w:val="32"/>
        </w:rPr>
        <w:t>，EHN）和鱼</w:t>
      </w:r>
      <w:proofErr w:type="gramStart"/>
      <w:r w:rsidR="00AC4954" w:rsidRPr="00AF0151">
        <w:rPr>
          <w:rFonts w:ascii="仿宋" w:eastAsia="仿宋" w:hAnsi="仿宋" w:hint="eastAsia"/>
          <w:sz w:val="32"/>
          <w:szCs w:val="32"/>
        </w:rPr>
        <w:t>呼肠孤病毒</w:t>
      </w:r>
      <w:proofErr w:type="gramEnd"/>
      <w:r w:rsidR="00AC4954" w:rsidRPr="00AF0151">
        <w:rPr>
          <w:rFonts w:ascii="仿宋" w:eastAsia="仿宋" w:hAnsi="仿宋" w:hint="eastAsia"/>
          <w:sz w:val="32"/>
          <w:szCs w:val="32"/>
        </w:rPr>
        <w:t>病（</w:t>
      </w:r>
      <w:r w:rsidR="00AC4954" w:rsidRPr="00AF0151">
        <w:rPr>
          <w:rFonts w:ascii="仿宋" w:eastAsia="仿宋" w:hAnsi="仿宋"/>
          <w:sz w:val="32"/>
          <w:szCs w:val="32"/>
        </w:rPr>
        <w:t xml:space="preserve">piscine </w:t>
      </w:r>
      <w:proofErr w:type="spellStart"/>
      <w:r w:rsidR="00AC4954" w:rsidRPr="00AF0151">
        <w:rPr>
          <w:rFonts w:ascii="仿宋" w:eastAsia="仿宋" w:hAnsi="仿宋"/>
          <w:sz w:val="32"/>
          <w:szCs w:val="32"/>
        </w:rPr>
        <w:t>orthoreovirus</w:t>
      </w:r>
      <w:proofErr w:type="spellEnd"/>
      <w:r w:rsidR="00AC4954" w:rsidRPr="00AF0151">
        <w:rPr>
          <w:rFonts w:ascii="仿宋" w:eastAsia="仿宋" w:hAnsi="仿宋" w:hint="eastAsia"/>
          <w:sz w:val="32"/>
          <w:szCs w:val="32"/>
        </w:rPr>
        <w:t>-associated diseases</w:t>
      </w:r>
      <w:r w:rsidR="00EF7444" w:rsidRPr="00AF0151">
        <w:rPr>
          <w:rFonts w:ascii="仿宋" w:eastAsia="仿宋" w:hAnsi="仿宋" w:hint="eastAsia"/>
          <w:sz w:val="32"/>
          <w:szCs w:val="32"/>
        </w:rPr>
        <w:t>，</w:t>
      </w:r>
      <w:bookmarkStart w:id="3" w:name="OLE_LINK131"/>
      <w:bookmarkStart w:id="4" w:name="OLE_LINK132"/>
      <w:r w:rsidR="00EF7444" w:rsidRPr="00AF0151">
        <w:rPr>
          <w:rFonts w:ascii="仿宋" w:eastAsia="仿宋" w:hAnsi="仿宋" w:hint="eastAsia"/>
          <w:sz w:val="32"/>
          <w:szCs w:val="32"/>
        </w:rPr>
        <w:t>P</w:t>
      </w:r>
      <w:r w:rsidR="00EF7444" w:rsidRPr="00AF0151">
        <w:rPr>
          <w:rFonts w:ascii="仿宋" w:eastAsia="仿宋" w:hAnsi="仿宋"/>
          <w:sz w:val="32"/>
          <w:szCs w:val="32"/>
        </w:rPr>
        <w:t>RV-</w:t>
      </w:r>
      <w:r w:rsidR="00EF7444" w:rsidRPr="00AF0151">
        <w:rPr>
          <w:rFonts w:ascii="仿宋" w:eastAsia="仿宋" w:hAnsi="仿宋" w:hint="eastAsia"/>
          <w:sz w:val="32"/>
          <w:szCs w:val="32"/>
        </w:rPr>
        <w:t>associated diseases</w:t>
      </w:r>
      <w:bookmarkEnd w:id="3"/>
      <w:bookmarkEnd w:id="4"/>
      <w:r w:rsidR="00AC4954" w:rsidRPr="00AF0151">
        <w:rPr>
          <w:rFonts w:ascii="仿宋" w:eastAsia="仿宋" w:hAnsi="仿宋" w:hint="eastAsia"/>
          <w:sz w:val="32"/>
          <w:szCs w:val="32"/>
        </w:rPr>
        <w:t>）</w:t>
      </w:r>
      <w:r w:rsidR="00676EFC" w:rsidRPr="00AF0151">
        <w:rPr>
          <w:rFonts w:ascii="仿宋" w:eastAsia="仿宋" w:hAnsi="仿宋" w:hint="eastAsia"/>
          <w:sz w:val="32"/>
          <w:szCs w:val="32"/>
        </w:rPr>
        <w:t>等</w:t>
      </w:r>
      <w:r w:rsidR="00AC4954" w:rsidRPr="00AF0151">
        <w:rPr>
          <w:rFonts w:ascii="仿宋" w:eastAsia="仿宋" w:hAnsi="仿宋" w:hint="eastAsia"/>
          <w:sz w:val="32"/>
          <w:szCs w:val="32"/>
        </w:rPr>
        <w:t>病毒</w:t>
      </w:r>
      <w:r w:rsidR="00676EFC" w:rsidRPr="00AF0151">
        <w:rPr>
          <w:rFonts w:ascii="仿宋" w:eastAsia="仿宋" w:hAnsi="仿宋" w:hint="eastAsia"/>
          <w:sz w:val="32"/>
          <w:szCs w:val="32"/>
        </w:rPr>
        <w:t>性疾</w:t>
      </w:r>
      <w:r w:rsidR="00AC4954" w:rsidRPr="00AF0151">
        <w:rPr>
          <w:rFonts w:ascii="仿宋" w:eastAsia="仿宋" w:hAnsi="仿宋" w:hint="eastAsia"/>
          <w:sz w:val="32"/>
          <w:szCs w:val="32"/>
        </w:rPr>
        <w:t>病</w:t>
      </w:r>
      <w:r w:rsidR="00676EFC" w:rsidRPr="00AF0151">
        <w:rPr>
          <w:rFonts w:ascii="仿宋" w:eastAsia="仿宋" w:hAnsi="仿宋" w:hint="eastAsia"/>
          <w:sz w:val="32"/>
          <w:szCs w:val="32"/>
        </w:rPr>
        <w:t>，</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立克次体病（</w:t>
      </w:r>
      <w:r w:rsidRPr="00AF0151">
        <w:rPr>
          <w:rFonts w:ascii="仿宋" w:eastAsia="仿宋" w:hAnsi="仿宋"/>
          <w:sz w:val="32"/>
          <w:szCs w:val="32"/>
        </w:rPr>
        <w:t>salmonid rickettsial septicemia</w:t>
      </w:r>
      <w:r w:rsidRPr="00AF0151">
        <w:rPr>
          <w:rFonts w:ascii="仿宋" w:eastAsia="仿宋" w:hAnsi="仿宋" w:hint="eastAsia"/>
          <w:sz w:val="32"/>
          <w:szCs w:val="32"/>
        </w:rPr>
        <w:t>，SRS）、细菌性肾病（</w:t>
      </w:r>
      <w:r w:rsidRPr="00AF0151">
        <w:rPr>
          <w:rFonts w:ascii="仿宋" w:eastAsia="仿宋" w:hAnsi="仿宋"/>
          <w:sz w:val="32"/>
          <w:szCs w:val="32"/>
        </w:rPr>
        <w:t>bacterial kidney disease</w:t>
      </w:r>
      <w:r w:rsidRPr="00AF0151">
        <w:rPr>
          <w:rFonts w:ascii="仿宋" w:eastAsia="仿宋" w:hAnsi="仿宋" w:hint="eastAsia"/>
          <w:sz w:val="32"/>
          <w:szCs w:val="32"/>
        </w:rPr>
        <w:t>，BKD）</w:t>
      </w:r>
      <w:r w:rsidR="00AC4954" w:rsidRPr="00AF0151">
        <w:rPr>
          <w:rFonts w:ascii="仿宋" w:eastAsia="仿宋" w:hAnsi="仿宋" w:hint="eastAsia"/>
          <w:sz w:val="32"/>
          <w:szCs w:val="32"/>
        </w:rPr>
        <w:t>杀</w:t>
      </w:r>
      <w:proofErr w:type="gramStart"/>
      <w:r w:rsidR="00AC4954" w:rsidRPr="00AF0151">
        <w:rPr>
          <w:rFonts w:ascii="仿宋" w:eastAsia="仿宋" w:hAnsi="仿宋" w:hint="eastAsia"/>
          <w:sz w:val="32"/>
          <w:szCs w:val="32"/>
        </w:rPr>
        <w:t>鲑气单</w:t>
      </w:r>
      <w:proofErr w:type="gramEnd"/>
      <w:r w:rsidR="00AC4954" w:rsidRPr="00AF0151">
        <w:rPr>
          <w:rFonts w:ascii="仿宋" w:eastAsia="仿宋" w:hAnsi="仿宋" w:hint="eastAsia"/>
          <w:sz w:val="32"/>
          <w:szCs w:val="32"/>
        </w:rPr>
        <w:t>胞菌疥疮病</w:t>
      </w:r>
      <w:r w:rsidR="00676EFC" w:rsidRPr="00AF0151">
        <w:rPr>
          <w:rFonts w:ascii="仿宋" w:eastAsia="仿宋" w:hAnsi="仿宋" w:hint="eastAsia"/>
          <w:sz w:val="32"/>
          <w:szCs w:val="32"/>
        </w:rPr>
        <w:t>等</w:t>
      </w:r>
      <w:r w:rsidR="00AC4954" w:rsidRPr="00AF0151">
        <w:rPr>
          <w:rFonts w:ascii="仿宋" w:eastAsia="仿宋" w:hAnsi="仿宋" w:hint="eastAsia"/>
          <w:sz w:val="32"/>
          <w:szCs w:val="32"/>
        </w:rPr>
        <w:t>细菌</w:t>
      </w:r>
      <w:r w:rsidR="00676EFC" w:rsidRPr="00AF0151">
        <w:rPr>
          <w:rFonts w:ascii="仿宋" w:eastAsia="仿宋" w:hAnsi="仿宋" w:hint="eastAsia"/>
          <w:sz w:val="32"/>
          <w:szCs w:val="32"/>
        </w:rPr>
        <w:t>性疾</w:t>
      </w:r>
      <w:r w:rsidR="00AC4954" w:rsidRPr="00AF0151">
        <w:rPr>
          <w:rFonts w:ascii="仿宋" w:eastAsia="仿宋" w:hAnsi="仿宋" w:hint="eastAsia"/>
          <w:sz w:val="32"/>
          <w:szCs w:val="32"/>
        </w:rPr>
        <w:t>病</w:t>
      </w:r>
      <w:r w:rsidR="00676EFC" w:rsidRPr="00AF0151">
        <w:rPr>
          <w:rFonts w:ascii="仿宋" w:eastAsia="仿宋" w:hAnsi="仿宋" w:hint="eastAsia"/>
          <w:sz w:val="32"/>
          <w:szCs w:val="32"/>
        </w:rPr>
        <w:t>，</w:t>
      </w:r>
      <w:r w:rsidRPr="00AF0151">
        <w:rPr>
          <w:rFonts w:ascii="仿宋" w:eastAsia="仿宋" w:hAnsi="仿宋" w:hint="eastAsia"/>
          <w:sz w:val="32"/>
          <w:szCs w:val="32"/>
        </w:rPr>
        <w:t>以及由海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病（</w:t>
      </w:r>
      <w:r w:rsidRPr="00AF0151">
        <w:rPr>
          <w:rFonts w:ascii="仿宋" w:eastAsia="仿宋" w:hAnsi="仿宋"/>
          <w:sz w:val="32"/>
          <w:szCs w:val="32"/>
        </w:rPr>
        <w:t>sea lice infestation</w:t>
      </w:r>
      <w:r w:rsidRPr="00AF0151">
        <w:rPr>
          <w:rFonts w:ascii="仿宋" w:eastAsia="仿宋" w:hAnsi="仿宋" w:hint="eastAsia"/>
          <w:sz w:val="32"/>
          <w:szCs w:val="32"/>
        </w:rPr>
        <w:t>）</w:t>
      </w:r>
      <w:r w:rsidR="00AC4954" w:rsidRPr="00AF0151">
        <w:rPr>
          <w:rFonts w:ascii="仿宋" w:eastAsia="仿宋" w:hAnsi="仿宋" w:hint="eastAsia"/>
          <w:sz w:val="32"/>
          <w:szCs w:val="32"/>
        </w:rPr>
        <w:t>小瓜虫病、三代虫病</w:t>
      </w:r>
      <w:r w:rsidRPr="00AF0151">
        <w:rPr>
          <w:rFonts w:ascii="仿宋" w:eastAsia="仿宋" w:hAnsi="仿宋" w:hint="eastAsia"/>
          <w:sz w:val="32"/>
          <w:szCs w:val="32"/>
        </w:rPr>
        <w:t>引起的严重寄生虫病，是当前威胁全球海水养殖</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鳟鱼健康与成活率的</w:t>
      </w:r>
      <w:r w:rsidR="00676EFC" w:rsidRPr="00AF0151">
        <w:rPr>
          <w:rFonts w:ascii="仿宋" w:eastAsia="仿宋" w:hAnsi="仿宋" w:hint="eastAsia"/>
          <w:sz w:val="32"/>
          <w:szCs w:val="32"/>
        </w:rPr>
        <w:t>重要疫病</w:t>
      </w:r>
      <w:r w:rsidRPr="00AF0151">
        <w:rPr>
          <w:rFonts w:ascii="仿宋" w:eastAsia="仿宋" w:hAnsi="仿宋" w:hint="eastAsia"/>
          <w:sz w:val="32"/>
          <w:szCs w:val="32"/>
        </w:rPr>
        <w:t>种类</w:t>
      </w:r>
      <w:r w:rsidRPr="00AF0151">
        <w:rPr>
          <w:rFonts w:ascii="仿宋" w:eastAsia="仿宋" w:hAnsi="仿宋"/>
          <w:sz w:val="32"/>
          <w:szCs w:val="32"/>
        </w:rPr>
        <w:t>。</w:t>
      </w:r>
    </w:p>
    <w:p w14:paraId="44B9A739" w14:textId="77777777" w:rsidR="00610C32" w:rsidRPr="00AF0151" w:rsidRDefault="00186307" w:rsidP="00DB2B12">
      <w:pPr>
        <w:pStyle w:val="a1"/>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我国现有的水生动物疫病防控标准体系，尽管已针对部分单种疫病出台了国家及行业诊断规程（如GB/T</w:t>
      </w:r>
      <w:r w:rsidRPr="00AF0151">
        <w:rPr>
          <w:rFonts w:ascii="仿宋" w:eastAsia="仿宋" w:hAnsi="仿宋"/>
          <w:sz w:val="32"/>
          <w:szCs w:val="32"/>
        </w:rPr>
        <w:t xml:space="preserve"> </w:t>
      </w:r>
      <w:r w:rsidRPr="00AF0151">
        <w:rPr>
          <w:rFonts w:ascii="仿宋" w:eastAsia="仿宋" w:hAnsi="仿宋" w:hint="eastAsia"/>
          <w:sz w:val="32"/>
          <w:szCs w:val="32"/>
        </w:rPr>
        <w:t>15805系列标准、SC/T</w:t>
      </w:r>
      <w:r w:rsidRPr="00AF0151">
        <w:rPr>
          <w:rFonts w:ascii="仿宋" w:eastAsia="仿宋" w:hAnsi="仿宋"/>
          <w:sz w:val="32"/>
          <w:szCs w:val="32"/>
        </w:rPr>
        <w:t xml:space="preserve"> </w:t>
      </w:r>
      <w:r w:rsidRPr="00AF0151">
        <w:rPr>
          <w:rFonts w:ascii="仿宋" w:eastAsia="仿宋" w:hAnsi="仿宋" w:hint="eastAsia"/>
          <w:sz w:val="32"/>
          <w:szCs w:val="32"/>
        </w:rPr>
        <w:t>7245—2025、</w:t>
      </w:r>
      <w:r w:rsidRPr="00AF0151">
        <w:rPr>
          <w:rFonts w:ascii="仿宋" w:eastAsia="仿宋" w:hAnsi="仿宋"/>
          <w:sz w:val="32"/>
          <w:szCs w:val="32"/>
        </w:rPr>
        <w:t>GB/T 47228—2026</w:t>
      </w:r>
      <w:r w:rsidRPr="00AF0151">
        <w:rPr>
          <w:rFonts w:ascii="仿宋" w:eastAsia="仿宋" w:hAnsi="仿宋" w:hint="eastAsia"/>
          <w:sz w:val="32"/>
          <w:szCs w:val="32"/>
        </w:rPr>
        <w:t>等），但这些标准多侧重于实验室后端的分子或免疫学诊断步骤，缺乏针对“海水养殖”这一特定应用场景下、涵盖多种重大疫病的系统性“前端监测策略”与“现场操作规范”。面对动辄承载数十万尾鱼的深远海装备，如何科学地计算流行率、如何选择最优的采样时机、如何规范海上的生物安保操作，成为亟待解决的行</w:t>
      </w:r>
      <w:r w:rsidRPr="00AF0151">
        <w:rPr>
          <w:rFonts w:ascii="仿宋" w:eastAsia="仿宋" w:hAnsi="仿宋" w:hint="eastAsia"/>
          <w:sz w:val="32"/>
          <w:szCs w:val="32"/>
        </w:rPr>
        <w:lastRenderedPageBreak/>
        <w:t>业痛点。同时，对照世界动物卫生组织（WOAH）发布的《水生动物健康法典》（Aquatic</w:t>
      </w:r>
      <w:r w:rsidRPr="00AF0151">
        <w:rPr>
          <w:rFonts w:ascii="仿宋" w:eastAsia="仿宋" w:hAnsi="仿宋"/>
          <w:sz w:val="32"/>
          <w:szCs w:val="32"/>
        </w:rPr>
        <w:t xml:space="preserve"> Animal Health </w:t>
      </w:r>
      <w:r w:rsidRPr="00AF0151">
        <w:rPr>
          <w:rFonts w:ascii="仿宋" w:eastAsia="仿宋" w:hAnsi="仿宋" w:hint="eastAsia"/>
          <w:sz w:val="32"/>
          <w:szCs w:val="32"/>
        </w:rPr>
        <w:t>Code）和《水生动物疫病诊断手册》（Manual</w:t>
      </w:r>
      <w:r w:rsidRPr="00AF0151">
        <w:rPr>
          <w:rFonts w:ascii="仿宋" w:eastAsia="仿宋" w:hAnsi="仿宋"/>
          <w:sz w:val="32"/>
          <w:szCs w:val="32"/>
        </w:rPr>
        <w:t xml:space="preserve"> of Diagnostic Tests for Aquatic </w:t>
      </w:r>
      <w:r w:rsidRPr="00AF0151">
        <w:rPr>
          <w:rFonts w:ascii="仿宋" w:eastAsia="仿宋" w:hAnsi="仿宋" w:hint="eastAsia"/>
          <w:sz w:val="32"/>
          <w:szCs w:val="32"/>
        </w:rPr>
        <w:t>Animals）最新要求，国内亟需建立一套与之接轨，且符合我国深远海养殖设施、水动力以及实践特点的综合性疫病监测标准。</w:t>
      </w:r>
    </w:p>
    <w:p w14:paraId="21511E29"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根据《中华人民共和国标准化法》及《中国渔业协会团体标准管理办法》的总体框架，结合本标准内容涉及深海复杂作业及前沿分子诊断技术的属性，起草组一致建议将《海水养殖鲑鳟鱼重要疫病监测技术规范》作为中国渔业协会推荐性团体标准立项</w:t>
      </w:r>
      <w:r w:rsidRPr="00AF0151">
        <w:rPr>
          <w:rFonts w:ascii="仿宋" w:eastAsia="仿宋" w:hAnsi="仿宋"/>
          <w:sz w:val="32"/>
          <w:szCs w:val="32"/>
        </w:rPr>
        <w:t>。</w:t>
      </w:r>
      <w:r w:rsidRPr="00AF0151">
        <w:rPr>
          <w:rFonts w:ascii="仿宋" w:eastAsia="仿宋" w:hAnsi="仿宋" w:hint="eastAsia"/>
          <w:sz w:val="32"/>
          <w:szCs w:val="32"/>
        </w:rPr>
        <w:t>《海水养殖鲑鳟鱼重要疫病监测技术规范》团体标准的制定旨在通过标准化手段，为我国海水</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鳟鱼养殖业建立一套科学、精准、可操作的早期疫病预警与监测技术体系，指导养殖企业及检验检疫部门规范开展重要疫病的筛查工作，从源头上切断病原传播链，进而</w:t>
      </w:r>
      <w:proofErr w:type="gramStart"/>
      <w:r w:rsidRPr="00AF0151">
        <w:rPr>
          <w:rFonts w:ascii="仿宋" w:eastAsia="仿宋" w:hAnsi="仿宋" w:hint="eastAsia"/>
          <w:sz w:val="32"/>
          <w:szCs w:val="32"/>
        </w:rPr>
        <w:t>助力保障</w:t>
      </w:r>
      <w:proofErr w:type="gramEnd"/>
      <w:r w:rsidRPr="00AF0151">
        <w:rPr>
          <w:rFonts w:ascii="仿宋" w:eastAsia="仿宋" w:hAnsi="仿宋" w:hint="eastAsia"/>
          <w:sz w:val="32"/>
          <w:szCs w:val="32"/>
        </w:rPr>
        <w:t>国家水产种业安全，推动我国海洋渔业向高质量、绿色可持续方向发展。</w:t>
      </w:r>
    </w:p>
    <w:p w14:paraId="3FFEC650" w14:textId="77777777" w:rsidR="00610C32" w:rsidRPr="00AF0151" w:rsidRDefault="00186307" w:rsidP="00DB2B12">
      <w:pPr>
        <w:pStyle w:val="3"/>
        <w:spacing w:before="100" w:beforeAutospacing="1" w:after="100" w:afterAutospacing="1"/>
        <w:jc w:val="both"/>
        <w:rPr>
          <w:rFonts w:ascii="仿宋" w:eastAsia="仿宋" w:hAnsi="仿宋"/>
          <w:b/>
          <w:color w:val="auto"/>
          <w:sz w:val="32"/>
          <w:szCs w:val="32"/>
        </w:rPr>
      </w:pPr>
      <w:bookmarkStart w:id="5" w:name="标准起草过程与核心团队"/>
      <w:bookmarkEnd w:id="2"/>
      <w:r w:rsidRPr="00AF0151">
        <w:rPr>
          <w:rFonts w:ascii="仿宋" w:eastAsia="仿宋" w:hAnsi="仿宋"/>
          <w:b/>
          <w:color w:val="auto"/>
          <w:sz w:val="32"/>
          <w:szCs w:val="32"/>
        </w:rPr>
        <w:t xml:space="preserve">3. </w:t>
      </w:r>
      <w:r w:rsidRPr="00AF0151">
        <w:rPr>
          <w:rFonts w:ascii="仿宋" w:eastAsia="仿宋" w:hAnsi="仿宋" w:hint="eastAsia"/>
          <w:b/>
          <w:color w:val="auto"/>
          <w:sz w:val="32"/>
          <w:szCs w:val="32"/>
        </w:rPr>
        <w:t>起草过程</w:t>
      </w:r>
    </w:p>
    <w:p w14:paraId="2C0AC67A" w14:textId="77777777" w:rsidR="00610C32" w:rsidRPr="00AF0151" w:rsidRDefault="00186307" w:rsidP="00DB2B12">
      <w:pPr>
        <w:pStyle w:val="4"/>
        <w:adjustRightInd w:val="0"/>
        <w:snapToGrid w:val="0"/>
        <w:spacing w:before="100" w:beforeAutospacing="1" w:after="100" w:afterAutospacing="1"/>
        <w:jc w:val="both"/>
        <w:rPr>
          <w:rFonts w:ascii="仿宋" w:eastAsia="仿宋" w:hAnsi="仿宋"/>
          <w:b/>
          <w:bCs/>
          <w:i w:val="0"/>
          <w:iCs w:val="0"/>
          <w:color w:val="auto"/>
          <w:sz w:val="32"/>
          <w:szCs w:val="32"/>
        </w:rPr>
      </w:pPr>
      <w:bookmarkStart w:id="6" w:name="前期深度调研与本底数据收集阶段2025年10月2026年3月"/>
      <w:r w:rsidRPr="00AF0151">
        <w:rPr>
          <w:rFonts w:ascii="仿宋" w:eastAsia="仿宋" w:hAnsi="仿宋" w:hint="eastAsia"/>
          <w:b/>
          <w:bCs/>
          <w:i w:val="0"/>
          <w:iCs w:val="0"/>
          <w:color w:val="auto"/>
          <w:sz w:val="32"/>
          <w:szCs w:val="32"/>
        </w:rPr>
        <w:t>3</w:t>
      </w:r>
      <w:r w:rsidRPr="00AF0151">
        <w:rPr>
          <w:rFonts w:ascii="仿宋" w:eastAsia="仿宋" w:hAnsi="仿宋"/>
          <w:b/>
          <w:bCs/>
          <w:i w:val="0"/>
          <w:iCs w:val="0"/>
          <w:color w:val="auto"/>
          <w:sz w:val="32"/>
          <w:szCs w:val="32"/>
        </w:rPr>
        <w:t>.1</w:t>
      </w:r>
      <w:r w:rsidRPr="00AF0151">
        <w:rPr>
          <w:rFonts w:ascii="仿宋" w:eastAsia="仿宋" w:hAnsi="仿宋" w:hint="eastAsia"/>
          <w:b/>
          <w:bCs/>
          <w:i w:val="0"/>
          <w:iCs w:val="0"/>
          <w:color w:val="auto"/>
          <w:sz w:val="32"/>
          <w:szCs w:val="32"/>
        </w:rPr>
        <w:t>前期深度调研与本底数据收集阶段（2025年</w:t>
      </w:r>
      <w:r w:rsidRPr="00AF0151">
        <w:rPr>
          <w:rFonts w:ascii="仿宋" w:eastAsia="仿宋" w:hAnsi="仿宋"/>
          <w:b/>
          <w:bCs/>
          <w:i w:val="0"/>
          <w:iCs w:val="0"/>
          <w:color w:val="auto"/>
          <w:sz w:val="32"/>
          <w:szCs w:val="32"/>
        </w:rPr>
        <w:t>9</w:t>
      </w:r>
      <w:r w:rsidRPr="00AF0151">
        <w:rPr>
          <w:rFonts w:ascii="仿宋" w:eastAsia="仿宋" w:hAnsi="仿宋" w:hint="eastAsia"/>
          <w:b/>
          <w:bCs/>
          <w:i w:val="0"/>
          <w:iCs w:val="0"/>
          <w:color w:val="auto"/>
          <w:sz w:val="32"/>
          <w:szCs w:val="32"/>
        </w:rPr>
        <w:t>月—202</w:t>
      </w:r>
      <w:r w:rsidRPr="00AF0151">
        <w:rPr>
          <w:rFonts w:ascii="仿宋" w:eastAsia="仿宋" w:hAnsi="仿宋"/>
          <w:b/>
          <w:bCs/>
          <w:i w:val="0"/>
          <w:iCs w:val="0"/>
          <w:color w:val="auto"/>
          <w:sz w:val="32"/>
          <w:szCs w:val="32"/>
        </w:rPr>
        <w:t>5</w:t>
      </w:r>
      <w:r w:rsidRPr="00AF0151">
        <w:rPr>
          <w:rFonts w:ascii="仿宋" w:eastAsia="仿宋" w:hAnsi="仿宋" w:hint="eastAsia"/>
          <w:b/>
          <w:bCs/>
          <w:i w:val="0"/>
          <w:iCs w:val="0"/>
          <w:color w:val="auto"/>
          <w:sz w:val="32"/>
          <w:szCs w:val="32"/>
        </w:rPr>
        <w:t>年1</w:t>
      </w:r>
      <w:r w:rsidRPr="00AF0151">
        <w:rPr>
          <w:rFonts w:ascii="仿宋" w:eastAsia="仿宋" w:hAnsi="仿宋"/>
          <w:b/>
          <w:bCs/>
          <w:i w:val="0"/>
          <w:iCs w:val="0"/>
          <w:color w:val="auto"/>
          <w:sz w:val="32"/>
          <w:szCs w:val="32"/>
        </w:rPr>
        <w:t>2</w:t>
      </w:r>
      <w:r w:rsidRPr="00AF0151">
        <w:rPr>
          <w:rFonts w:ascii="仿宋" w:eastAsia="仿宋" w:hAnsi="仿宋" w:hint="eastAsia"/>
          <w:b/>
          <w:bCs/>
          <w:i w:val="0"/>
          <w:iCs w:val="0"/>
          <w:color w:val="auto"/>
          <w:sz w:val="32"/>
          <w:szCs w:val="32"/>
        </w:rPr>
        <w:t>月）</w:t>
      </w:r>
    </w:p>
    <w:p w14:paraId="346D00E0"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项目启动前期，起草组便开展了极为详尽的文献计量分析与国内外政策梳理。团队重点研读了WOAH《水生动物健康法典》中关于无规定疫病区（Disease-free</w:t>
      </w:r>
      <w:r w:rsidRPr="00AF0151">
        <w:rPr>
          <w:rFonts w:ascii="仿宋" w:eastAsia="仿宋" w:hAnsi="仿宋"/>
          <w:sz w:val="32"/>
          <w:szCs w:val="32"/>
        </w:rPr>
        <w:t xml:space="preserve"> </w:t>
      </w:r>
      <w:r w:rsidRPr="00AF0151">
        <w:rPr>
          <w:rFonts w:ascii="仿宋" w:eastAsia="仿宋" w:hAnsi="仿宋" w:hint="eastAsia"/>
          <w:sz w:val="32"/>
          <w:szCs w:val="32"/>
        </w:rPr>
        <w:t>zone）的认定标准，以及WOAH推荐的疫病监测统计学模型</w:t>
      </w:r>
      <w:r w:rsidRPr="00AF0151">
        <w:rPr>
          <w:rFonts w:ascii="仿宋" w:eastAsia="仿宋" w:hAnsi="仿宋"/>
          <w:sz w:val="32"/>
          <w:szCs w:val="32"/>
        </w:rPr>
        <w:t xml:space="preserve"> </w:t>
      </w:r>
      <w:r w:rsidRPr="00AF0151">
        <w:rPr>
          <w:rFonts w:ascii="仿宋" w:eastAsia="仿宋" w:hAnsi="仿宋" w:hint="eastAsia"/>
          <w:sz w:val="32"/>
          <w:szCs w:val="32"/>
        </w:rPr>
        <w:t>。在针对寄生虫病管理方面，起草组深入研究了挪威食品安全局（</w:t>
      </w:r>
      <w:proofErr w:type="spellStart"/>
      <w:r w:rsidRPr="00AF0151">
        <w:rPr>
          <w:rFonts w:ascii="仿宋" w:eastAsia="仿宋" w:hAnsi="仿宋" w:hint="eastAsia"/>
          <w:sz w:val="32"/>
          <w:szCs w:val="32"/>
        </w:rPr>
        <w:t>Mattilsynet</w:t>
      </w:r>
      <w:proofErr w:type="spellEnd"/>
      <w:r w:rsidRPr="00AF0151">
        <w:rPr>
          <w:rFonts w:ascii="仿宋" w:eastAsia="仿宋" w:hAnsi="仿宋" w:hint="eastAsia"/>
          <w:sz w:val="32"/>
          <w:szCs w:val="32"/>
        </w:rPr>
        <w:t>）关于海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绝对阈值控制的严苛法规，以及苏格兰环境保护局（SEPA）基于风险评估的海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监管框架。在细菌病防控领域，详细剖析了智利国家渔业和水产养殖局（</w:t>
      </w:r>
      <w:proofErr w:type="spellStart"/>
      <w:r w:rsidRPr="00AF0151">
        <w:rPr>
          <w:rFonts w:ascii="仿宋" w:eastAsia="仿宋" w:hAnsi="仿宋" w:hint="eastAsia"/>
          <w:sz w:val="32"/>
          <w:szCs w:val="32"/>
        </w:rPr>
        <w:t>Sernapesca</w:t>
      </w:r>
      <w:proofErr w:type="spellEnd"/>
      <w:r w:rsidRPr="00AF0151">
        <w:rPr>
          <w:rFonts w:ascii="仿宋" w:eastAsia="仿宋" w:hAnsi="仿宋" w:hint="eastAsia"/>
          <w:sz w:val="32"/>
          <w:szCs w:val="32"/>
        </w:rPr>
        <w:t>）针对</w:t>
      </w:r>
      <w:r w:rsidRPr="00AF0151">
        <w:rPr>
          <w:rFonts w:ascii="仿宋" w:eastAsia="仿宋" w:hAnsi="仿宋" w:hint="eastAsia"/>
          <w:sz w:val="32"/>
          <w:szCs w:val="32"/>
        </w:rPr>
        <w:lastRenderedPageBreak/>
        <w:t>SRS的监测计划及其旨在削减抗菌药物使用的“水产养殖健康管理计划”（PGSA）</w:t>
      </w:r>
      <w:r w:rsidRPr="00AF0151">
        <w:rPr>
          <w:rFonts w:ascii="仿宋" w:eastAsia="仿宋" w:hAnsi="仿宋"/>
          <w:sz w:val="32"/>
          <w:szCs w:val="32"/>
        </w:rPr>
        <w:t>。</w:t>
      </w:r>
    </w:p>
    <w:p w14:paraId="54C760F3" w14:textId="77777777" w:rsidR="00610C32" w:rsidRPr="00AF0151" w:rsidRDefault="00186307" w:rsidP="00DB2B12">
      <w:pPr>
        <w:pStyle w:val="a1"/>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起草组成员在前期多年调查、编写《2024年传染性造血器官坏死病（IHN）状况分析》与《2024年传染性胰脏坏死病（IPN）状况分析》（《2025我国水生动物重要疫病状况分析》中的重要章节）流调报告的基础上，也掌握了我国目前养殖</w:t>
      </w:r>
      <w:proofErr w:type="gramStart"/>
      <w:r w:rsidRPr="00AF0151">
        <w:rPr>
          <w:rFonts w:ascii="仿宋" w:eastAsia="仿宋" w:hAnsi="仿宋" w:hint="eastAsia"/>
          <w:sz w:val="32"/>
          <w:szCs w:val="32"/>
        </w:rPr>
        <w:t>鲑鳟</w:t>
      </w:r>
      <w:proofErr w:type="gramEnd"/>
      <w:r w:rsidRPr="00AF0151">
        <w:rPr>
          <w:rFonts w:ascii="仿宋" w:eastAsia="仿宋" w:hAnsi="仿宋" w:hint="eastAsia"/>
          <w:sz w:val="32"/>
          <w:szCs w:val="32"/>
        </w:rPr>
        <w:t>类相关的中国本土流行病学本底数据。起草</w:t>
      </w:r>
      <w:proofErr w:type="gramStart"/>
      <w:r w:rsidRPr="00AF0151">
        <w:rPr>
          <w:rFonts w:ascii="仿宋" w:eastAsia="仿宋" w:hAnsi="仿宋" w:hint="eastAsia"/>
          <w:sz w:val="32"/>
          <w:szCs w:val="32"/>
        </w:rPr>
        <w:t>组深刻</w:t>
      </w:r>
      <w:proofErr w:type="gramEnd"/>
      <w:r w:rsidRPr="00AF0151">
        <w:rPr>
          <w:rFonts w:ascii="仿宋" w:eastAsia="仿宋" w:hAnsi="仿宋" w:hint="eastAsia"/>
          <w:sz w:val="32"/>
          <w:szCs w:val="32"/>
        </w:rPr>
        <w:t>认识到，尽管成鱼阶段病害频发，但真正的风险源头往往隐匿于淡水孵化及苗种流通环节，从而确立了本标准“关口前移、海淡协同”的总体监测策略。</w:t>
      </w:r>
    </w:p>
    <w:p w14:paraId="7FDF205E" w14:textId="77777777" w:rsidR="00610C32" w:rsidRPr="00AF0151" w:rsidRDefault="00186307" w:rsidP="00DB2B12">
      <w:pPr>
        <w:pStyle w:val="4"/>
        <w:adjustRightInd w:val="0"/>
        <w:snapToGrid w:val="0"/>
        <w:spacing w:before="100" w:beforeAutospacing="1" w:after="100" w:afterAutospacing="1"/>
        <w:jc w:val="both"/>
        <w:rPr>
          <w:rFonts w:ascii="仿宋" w:eastAsia="仿宋" w:hAnsi="仿宋"/>
          <w:b/>
          <w:bCs/>
          <w:i w:val="0"/>
          <w:iCs w:val="0"/>
          <w:color w:val="auto"/>
          <w:sz w:val="32"/>
          <w:szCs w:val="32"/>
        </w:rPr>
      </w:pPr>
      <w:bookmarkStart w:id="7" w:name="标准草案起草与核心条款确立阶段2026年4月2026年6月"/>
      <w:bookmarkEnd w:id="6"/>
      <w:r w:rsidRPr="00AF0151">
        <w:rPr>
          <w:rFonts w:ascii="仿宋" w:eastAsia="仿宋" w:hAnsi="仿宋" w:hint="eastAsia"/>
          <w:b/>
          <w:bCs/>
          <w:i w:val="0"/>
          <w:iCs w:val="0"/>
          <w:color w:val="auto"/>
          <w:sz w:val="32"/>
          <w:szCs w:val="32"/>
        </w:rPr>
        <w:t>3</w:t>
      </w:r>
      <w:r w:rsidRPr="00AF0151">
        <w:rPr>
          <w:rFonts w:ascii="仿宋" w:eastAsia="仿宋" w:hAnsi="仿宋"/>
          <w:b/>
          <w:bCs/>
          <w:i w:val="0"/>
          <w:iCs w:val="0"/>
          <w:color w:val="auto"/>
          <w:sz w:val="32"/>
          <w:szCs w:val="32"/>
        </w:rPr>
        <w:t>.2</w:t>
      </w:r>
      <w:r w:rsidRPr="00AF0151">
        <w:rPr>
          <w:rFonts w:ascii="仿宋" w:eastAsia="仿宋" w:hAnsi="仿宋" w:hint="eastAsia"/>
          <w:b/>
          <w:bCs/>
          <w:i w:val="0"/>
          <w:iCs w:val="0"/>
          <w:color w:val="auto"/>
          <w:sz w:val="32"/>
          <w:szCs w:val="32"/>
        </w:rPr>
        <w:t>标准草案起草与核心条款确立阶段（2026年</w:t>
      </w:r>
      <w:r w:rsidRPr="00AF0151">
        <w:rPr>
          <w:rFonts w:ascii="仿宋" w:eastAsia="仿宋" w:hAnsi="仿宋"/>
          <w:b/>
          <w:bCs/>
          <w:i w:val="0"/>
          <w:iCs w:val="0"/>
          <w:color w:val="auto"/>
          <w:sz w:val="32"/>
          <w:szCs w:val="32"/>
        </w:rPr>
        <w:t>1</w:t>
      </w:r>
      <w:r w:rsidRPr="00AF0151">
        <w:rPr>
          <w:rFonts w:ascii="仿宋" w:eastAsia="仿宋" w:hAnsi="仿宋" w:hint="eastAsia"/>
          <w:b/>
          <w:bCs/>
          <w:i w:val="0"/>
          <w:iCs w:val="0"/>
          <w:color w:val="auto"/>
          <w:sz w:val="32"/>
          <w:szCs w:val="32"/>
        </w:rPr>
        <w:t>月—2026年</w:t>
      </w:r>
      <w:r w:rsidRPr="00AF0151">
        <w:rPr>
          <w:rFonts w:ascii="仿宋" w:eastAsia="仿宋" w:hAnsi="仿宋"/>
          <w:b/>
          <w:bCs/>
          <w:i w:val="0"/>
          <w:iCs w:val="0"/>
          <w:color w:val="auto"/>
          <w:sz w:val="32"/>
          <w:szCs w:val="32"/>
        </w:rPr>
        <w:t>4</w:t>
      </w:r>
      <w:r w:rsidRPr="00AF0151">
        <w:rPr>
          <w:rFonts w:ascii="仿宋" w:eastAsia="仿宋" w:hAnsi="仿宋" w:hint="eastAsia"/>
          <w:b/>
          <w:bCs/>
          <w:i w:val="0"/>
          <w:iCs w:val="0"/>
          <w:color w:val="auto"/>
          <w:sz w:val="32"/>
          <w:szCs w:val="32"/>
        </w:rPr>
        <w:t>月）</w:t>
      </w:r>
    </w:p>
    <w:p w14:paraId="2DE9AB0A"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在前期坚实流行病学数据的支撑下，起草组按照分工正式进入文本起草阶段。本规范创造性地将监测策略前置，不仅规定了“怎么测”，更着重解决了“何时测”、“测多少”的问题。草案明确界定了被动监测（基于临床异常触发）与主动监测（基于流行病学风险定点采样）的双轨策略。针对海上作业风大浪急、操作平台受限的特殊性，起草组为现场采样、无应激麻醉、靶器官无损提取及样品的常温/低温保存制定了详尽的工程学标准。在实验室检测技术路径上，充分</w:t>
      </w:r>
      <w:proofErr w:type="gramStart"/>
      <w:r w:rsidRPr="00AF0151">
        <w:rPr>
          <w:rFonts w:ascii="仿宋" w:eastAsia="仿宋" w:hAnsi="仿宋" w:hint="eastAsia"/>
          <w:sz w:val="32"/>
          <w:szCs w:val="32"/>
        </w:rPr>
        <w:t>考量</w:t>
      </w:r>
      <w:proofErr w:type="gramEnd"/>
      <w:r w:rsidRPr="00AF0151">
        <w:rPr>
          <w:rFonts w:ascii="仿宋" w:eastAsia="仿宋" w:hAnsi="仿宋" w:hint="eastAsia"/>
          <w:sz w:val="32"/>
          <w:szCs w:val="32"/>
        </w:rPr>
        <w:t>了基层养殖场快速初筛与国家级参考实验室最终确证的不同需求，</w:t>
      </w:r>
      <w:r w:rsidR="00DB2B12" w:rsidRPr="00AF0151">
        <w:rPr>
          <w:rFonts w:ascii="仿宋" w:eastAsia="仿宋" w:hAnsi="仿宋" w:hint="eastAsia"/>
          <w:sz w:val="32"/>
          <w:szCs w:val="32"/>
        </w:rPr>
        <w:t>首选</w:t>
      </w:r>
      <w:r w:rsidRPr="00AF0151">
        <w:rPr>
          <w:rFonts w:ascii="仿宋" w:eastAsia="仿宋" w:hAnsi="仿宋" w:hint="eastAsia"/>
          <w:sz w:val="32"/>
          <w:szCs w:val="32"/>
        </w:rPr>
        <w:t>设定了常规PCR、TaqMan实时荧光定量PCR（RT-qPCR</w:t>
      </w:r>
      <w:r w:rsidR="00DB2B12" w:rsidRPr="00AF0151">
        <w:rPr>
          <w:rFonts w:ascii="仿宋" w:eastAsia="仿宋" w:hAnsi="仿宋" w:hint="eastAsia"/>
          <w:sz w:val="32"/>
          <w:szCs w:val="32"/>
        </w:rPr>
        <w:t>）</w:t>
      </w:r>
      <w:r w:rsidRPr="00AF0151">
        <w:rPr>
          <w:rFonts w:ascii="仿宋" w:eastAsia="仿宋" w:hAnsi="仿宋" w:hint="eastAsia"/>
          <w:sz w:val="32"/>
          <w:szCs w:val="32"/>
        </w:rPr>
        <w:t>，并给出了明晰的阳性判定树（Decision</w:t>
      </w:r>
      <w:r w:rsidRPr="00AF0151">
        <w:rPr>
          <w:rFonts w:ascii="仿宋" w:eastAsia="仿宋" w:hAnsi="仿宋"/>
          <w:sz w:val="32"/>
          <w:szCs w:val="32"/>
        </w:rPr>
        <w:t xml:space="preserve"> </w:t>
      </w:r>
      <w:r w:rsidRPr="00AF0151">
        <w:rPr>
          <w:rFonts w:ascii="仿宋" w:eastAsia="仿宋" w:hAnsi="仿宋" w:hint="eastAsia"/>
          <w:sz w:val="32"/>
          <w:szCs w:val="32"/>
        </w:rPr>
        <w:t>Tree）。最终于2026年</w:t>
      </w:r>
      <w:r w:rsidRPr="00AF0151">
        <w:rPr>
          <w:rFonts w:ascii="仿宋" w:eastAsia="仿宋" w:hAnsi="仿宋"/>
          <w:sz w:val="32"/>
          <w:szCs w:val="32"/>
        </w:rPr>
        <w:t>4</w:t>
      </w:r>
      <w:r w:rsidRPr="00AF0151">
        <w:rPr>
          <w:rFonts w:ascii="仿宋" w:eastAsia="仿宋" w:hAnsi="仿宋" w:hint="eastAsia"/>
          <w:sz w:val="32"/>
          <w:szCs w:val="32"/>
        </w:rPr>
        <w:t>月形成了《海水养殖鲑鳟鱼重要疫病监测技术规范（初稿）》。</w:t>
      </w:r>
    </w:p>
    <w:p w14:paraId="78535FE4" w14:textId="77777777" w:rsidR="00610C32" w:rsidRPr="00AF0151" w:rsidRDefault="00186307" w:rsidP="00DB2B12">
      <w:pPr>
        <w:pStyle w:val="4"/>
        <w:adjustRightInd w:val="0"/>
        <w:snapToGrid w:val="0"/>
        <w:spacing w:before="100" w:beforeAutospacing="1" w:after="100" w:afterAutospacing="1"/>
        <w:jc w:val="both"/>
        <w:rPr>
          <w:rFonts w:ascii="仿宋" w:eastAsia="仿宋" w:hAnsi="仿宋"/>
          <w:b/>
          <w:bCs/>
          <w:i w:val="0"/>
          <w:iCs w:val="0"/>
          <w:color w:val="auto"/>
          <w:sz w:val="32"/>
          <w:szCs w:val="32"/>
        </w:rPr>
      </w:pPr>
      <w:bookmarkStart w:id="8" w:name="方法验证与参数优化阶段2026年7月2026年9月"/>
      <w:bookmarkEnd w:id="7"/>
      <w:r w:rsidRPr="00AF0151">
        <w:rPr>
          <w:rFonts w:ascii="仿宋" w:eastAsia="仿宋" w:hAnsi="仿宋" w:hint="eastAsia"/>
          <w:b/>
          <w:bCs/>
          <w:i w:val="0"/>
          <w:iCs w:val="0"/>
          <w:color w:val="auto"/>
          <w:sz w:val="32"/>
          <w:szCs w:val="32"/>
        </w:rPr>
        <w:t>3</w:t>
      </w:r>
      <w:r w:rsidRPr="00AF0151">
        <w:rPr>
          <w:rFonts w:ascii="仿宋" w:eastAsia="仿宋" w:hAnsi="仿宋"/>
          <w:b/>
          <w:bCs/>
          <w:i w:val="0"/>
          <w:iCs w:val="0"/>
          <w:color w:val="auto"/>
          <w:sz w:val="32"/>
          <w:szCs w:val="32"/>
        </w:rPr>
        <w:t>.3</w:t>
      </w:r>
      <w:r w:rsidRPr="00AF0151">
        <w:rPr>
          <w:rFonts w:ascii="仿宋" w:eastAsia="仿宋" w:hAnsi="仿宋" w:hint="eastAsia"/>
          <w:b/>
          <w:bCs/>
          <w:i w:val="0"/>
          <w:iCs w:val="0"/>
          <w:color w:val="auto"/>
          <w:sz w:val="32"/>
          <w:szCs w:val="32"/>
        </w:rPr>
        <w:t>方法验证与参数优化阶段（2026年</w:t>
      </w:r>
      <w:r w:rsidRPr="00AF0151">
        <w:rPr>
          <w:rFonts w:ascii="仿宋" w:eastAsia="仿宋" w:hAnsi="仿宋"/>
          <w:b/>
          <w:bCs/>
          <w:i w:val="0"/>
          <w:iCs w:val="0"/>
          <w:color w:val="auto"/>
          <w:sz w:val="32"/>
          <w:szCs w:val="32"/>
        </w:rPr>
        <w:t>4</w:t>
      </w:r>
      <w:r w:rsidRPr="00AF0151">
        <w:rPr>
          <w:rFonts w:ascii="仿宋" w:eastAsia="仿宋" w:hAnsi="仿宋" w:hint="eastAsia"/>
          <w:b/>
          <w:bCs/>
          <w:i w:val="0"/>
          <w:iCs w:val="0"/>
          <w:color w:val="auto"/>
          <w:sz w:val="32"/>
          <w:szCs w:val="32"/>
        </w:rPr>
        <w:t>月—2026年</w:t>
      </w:r>
      <w:r w:rsidRPr="00AF0151">
        <w:rPr>
          <w:rFonts w:ascii="仿宋" w:eastAsia="仿宋" w:hAnsi="仿宋"/>
          <w:b/>
          <w:bCs/>
          <w:i w:val="0"/>
          <w:iCs w:val="0"/>
          <w:color w:val="auto"/>
          <w:sz w:val="32"/>
          <w:szCs w:val="32"/>
        </w:rPr>
        <w:t>5</w:t>
      </w:r>
      <w:r w:rsidRPr="00AF0151">
        <w:rPr>
          <w:rFonts w:ascii="仿宋" w:eastAsia="仿宋" w:hAnsi="仿宋" w:hint="eastAsia"/>
          <w:b/>
          <w:bCs/>
          <w:i w:val="0"/>
          <w:iCs w:val="0"/>
          <w:color w:val="auto"/>
          <w:sz w:val="32"/>
          <w:szCs w:val="32"/>
        </w:rPr>
        <w:t>月）</w:t>
      </w:r>
    </w:p>
    <w:p w14:paraId="3192B60D"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标准中收录的检测方法必须经得起复杂海洋基质样品的考验。起草组根据现行国家标准、行业标准，优选</w:t>
      </w:r>
      <w:proofErr w:type="gramStart"/>
      <w:r w:rsidRPr="00AF0151">
        <w:rPr>
          <w:rFonts w:ascii="仿宋" w:eastAsia="仿宋" w:hAnsi="仿宋" w:hint="eastAsia"/>
          <w:sz w:val="32"/>
          <w:szCs w:val="32"/>
        </w:rPr>
        <w:t>了草</w:t>
      </w:r>
      <w:proofErr w:type="gramEnd"/>
      <w:r w:rsidRPr="00AF0151">
        <w:rPr>
          <w:rFonts w:ascii="仿宋" w:eastAsia="仿宋" w:hAnsi="仿宋" w:hint="eastAsia"/>
          <w:sz w:val="32"/>
          <w:szCs w:val="32"/>
        </w:rPr>
        <w:t>案中涉及</w:t>
      </w:r>
      <w:r w:rsidRPr="00AF0151">
        <w:rPr>
          <w:rFonts w:ascii="仿宋" w:eastAsia="仿宋" w:hAnsi="仿宋" w:hint="eastAsia"/>
          <w:sz w:val="32"/>
          <w:szCs w:val="32"/>
        </w:rPr>
        <w:lastRenderedPageBreak/>
        <w:t>的IHN</w:t>
      </w:r>
      <w:r w:rsidRPr="00AF0151">
        <w:rPr>
          <w:rFonts w:ascii="仿宋" w:eastAsia="仿宋" w:hAnsi="仿宋"/>
          <w:sz w:val="32"/>
          <w:szCs w:val="32"/>
        </w:rPr>
        <w:t xml:space="preserve"> </w:t>
      </w:r>
      <w:r w:rsidRPr="00AF0151">
        <w:rPr>
          <w:rFonts w:ascii="仿宋" w:eastAsia="仿宋" w:hAnsi="仿宋" w:hint="eastAsia"/>
          <w:sz w:val="32"/>
          <w:szCs w:val="32"/>
        </w:rPr>
        <w:t>G蛋白靶基因引物探针、SRS</w:t>
      </w:r>
      <w:r w:rsidRPr="00AF0151">
        <w:rPr>
          <w:rFonts w:ascii="仿宋" w:eastAsia="仿宋" w:hAnsi="仿宋"/>
          <w:sz w:val="32"/>
          <w:szCs w:val="32"/>
        </w:rPr>
        <w:t xml:space="preserve"> 16S </w:t>
      </w:r>
      <w:r w:rsidRPr="00AF0151">
        <w:rPr>
          <w:rFonts w:ascii="仿宋" w:eastAsia="仿宋" w:hAnsi="仿宋" w:hint="eastAsia"/>
          <w:sz w:val="32"/>
          <w:szCs w:val="32"/>
        </w:rPr>
        <w:t>rDNA及ITS区域的分子靶标、BKD的p57基因套式PCR体系等核心技术资料。大量文献报道的验证数据表明，草案中所列分子生物学方法的特异性与检测下限均可达到预期目标。</w:t>
      </w:r>
    </w:p>
    <w:p w14:paraId="645ECCE3" w14:textId="77777777" w:rsidR="00610C32" w:rsidRPr="00AF0151" w:rsidRDefault="00186307" w:rsidP="00DB2B12">
      <w:pPr>
        <w:pStyle w:val="4"/>
        <w:adjustRightInd w:val="0"/>
        <w:snapToGrid w:val="0"/>
        <w:spacing w:before="100" w:beforeAutospacing="1" w:after="100" w:afterAutospacing="1"/>
        <w:jc w:val="both"/>
        <w:rPr>
          <w:rFonts w:ascii="仿宋" w:eastAsia="仿宋" w:hAnsi="仿宋"/>
          <w:b/>
          <w:bCs/>
          <w:i w:val="0"/>
          <w:iCs w:val="0"/>
          <w:color w:val="auto"/>
          <w:sz w:val="32"/>
          <w:szCs w:val="32"/>
        </w:rPr>
      </w:pPr>
      <w:r w:rsidRPr="00AF0151">
        <w:rPr>
          <w:rFonts w:ascii="仿宋" w:eastAsia="仿宋" w:hAnsi="仿宋"/>
          <w:b/>
          <w:bCs/>
          <w:i w:val="0"/>
          <w:iCs w:val="0"/>
          <w:color w:val="auto"/>
          <w:sz w:val="32"/>
          <w:szCs w:val="32"/>
        </w:rPr>
        <w:t>3.4</w:t>
      </w:r>
      <w:r w:rsidRPr="00AF0151">
        <w:rPr>
          <w:rFonts w:ascii="仿宋" w:eastAsia="仿宋" w:hAnsi="仿宋" w:hint="eastAsia"/>
          <w:b/>
          <w:bCs/>
          <w:i w:val="0"/>
          <w:iCs w:val="0"/>
          <w:color w:val="auto"/>
          <w:sz w:val="32"/>
          <w:szCs w:val="32"/>
        </w:rPr>
        <w:t>标准主要起草人及分工</w:t>
      </w:r>
    </w:p>
    <w:p w14:paraId="23E71B33"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cs="Times New Roman"/>
          <w:sz w:val="32"/>
          <w:szCs w:val="32"/>
        </w:rPr>
      </w:pPr>
      <w:r w:rsidRPr="00AF0151">
        <w:rPr>
          <w:rFonts w:ascii="仿宋" w:eastAsia="仿宋" w:hAnsi="仿宋" w:hint="eastAsia"/>
          <w:sz w:val="32"/>
          <w:szCs w:val="32"/>
        </w:rPr>
        <w:t>中国水产科学研究院黄海水产研究所为项目主持单位，负责制订方案、收集资料、起草标准文本、撰写编制说明、征求意见以及进行意见汇总处理等，项目协作单位日照市海洋与渔业研究院、北京市水产技术推广站参与本标准编制和适用性评价。主要起早人及任务分工见表</w:t>
      </w:r>
      <w:r w:rsidRPr="00AF0151">
        <w:rPr>
          <w:rFonts w:ascii="仿宋" w:eastAsia="仿宋" w:hAnsi="仿宋"/>
          <w:sz w:val="32"/>
          <w:szCs w:val="32"/>
        </w:rPr>
        <w:t>1</w:t>
      </w:r>
      <w:r w:rsidRPr="00AF0151">
        <w:rPr>
          <w:rFonts w:ascii="仿宋" w:eastAsia="仿宋" w:hAnsi="仿宋" w:hint="eastAsia"/>
          <w:sz w:val="32"/>
          <w:szCs w:val="32"/>
        </w:rPr>
        <w:t>。</w:t>
      </w:r>
    </w:p>
    <w:p w14:paraId="740B3B3B" w14:textId="77777777" w:rsidR="00610C32" w:rsidRPr="00AF0151" w:rsidRDefault="00186307" w:rsidP="00DB2B12">
      <w:pPr>
        <w:pStyle w:val="afe"/>
        <w:adjustRightInd w:val="0"/>
        <w:snapToGrid w:val="0"/>
        <w:spacing w:before="100" w:beforeAutospacing="1" w:after="100" w:afterAutospacing="1"/>
        <w:ind w:firstLine="640"/>
        <w:jc w:val="center"/>
        <w:rPr>
          <w:rFonts w:ascii="仿宋" w:eastAsia="仿宋" w:hAnsi="仿宋"/>
          <w:sz w:val="32"/>
          <w:szCs w:val="32"/>
        </w:rPr>
      </w:pPr>
      <w:r w:rsidRPr="00AF0151">
        <w:rPr>
          <w:rFonts w:ascii="仿宋" w:eastAsia="仿宋" w:hAnsi="仿宋"/>
          <w:sz w:val="32"/>
          <w:szCs w:val="32"/>
        </w:rPr>
        <w:t>表1 本标准主要起草人及其任务分工</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4105"/>
        <w:gridCol w:w="3119"/>
      </w:tblGrid>
      <w:tr w:rsidR="0033345F" w:rsidRPr="00AF0151" w14:paraId="50669303" w14:textId="77777777">
        <w:trPr>
          <w:jc w:val="center"/>
        </w:trPr>
        <w:tc>
          <w:tcPr>
            <w:tcW w:w="1560" w:type="dxa"/>
            <w:vAlign w:val="center"/>
          </w:tcPr>
          <w:p w14:paraId="6DEC401D"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姓名</w:t>
            </w:r>
          </w:p>
        </w:tc>
        <w:tc>
          <w:tcPr>
            <w:tcW w:w="4105" w:type="dxa"/>
            <w:vAlign w:val="center"/>
          </w:tcPr>
          <w:p w14:paraId="1B649824"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工作单位</w:t>
            </w:r>
          </w:p>
        </w:tc>
        <w:tc>
          <w:tcPr>
            <w:tcW w:w="3119" w:type="dxa"/>
            <w:vAlign w:val="center"/>
          </w:tcPr>
          <w:p w14:paraId="7D2D5D70"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任务分工</w:t>
            </w:r>
          </w:p>
        </w:tc>
      </w:tr>
      <w:tr w:rsidR="0033345F" w:rsidRPr="00AF0151" w14:paraId="014964DC" w14:textId="77777777">
        <w:trPr>
          <w:jc w:val="center"/>
        </w:trPr>
        <w:tc>
          <w:tcPr>
            <w:tcW w:w="1560" w:type="dxa"/>
            <w:vAlign w:val="center"/>
          </w:tcPr>
          <w:p w14:paraId="0A22C7B7"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proofErr w:type="gramStart"/>
            <w:r w:rsidRPr="00AF0151">
              <w:rPr>
                <w:rFonts w:ascii="仿宋" w:eastAsia="仿宋" w:hAnsi="仿宋" w:hint="eastAsia"/>
                <w:sz w:val="32"/>
                <w:szCs w:val="32"/>
              </w:rPr>
              <w:t>张庆利</w:t>
            </w:r>
            <w:proofErr w:type="gramEnd"/>
          </w:p>
        </w:tc>
        <w:tc>
          <w:tcPr>
            <w:tcW w:w="4105" w:type="dxa"/>
            <w:vAlign w:val="center"/>
          </w:tcPr>
          <w:p w14:paraId="735460FD"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中国水产科学研究院黄海水产研究所</w:t>
            </w:r>
          </w:p>
        </w:tc>
        <w:tc>
          <w:tcPr>
            <w:tcW w:w="3119" w:type="dxa"/>
            <w:vAlign w:val="center"/>
          </w:tcPr>
          <w:p w14:paraId="0719BBE1"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负责标准框架设定、草案编写，以及项目组织协调。</w:t>
            </w:r>
          </w:p>
        </w:tc>
      </w:tr>
      <w:tr w:rsidR="0033345F" w:rsidRPr="00AF0151" w14:paraId="69D818F3" w14:textId="77777777">
        <w:trPr>
          <w:jc w:val="center"/>
        </w:trPr>
        <w:tc>
          <w:tcPr>
            <w:tcW w:w="1560" w:type="dxa"/>
            <w:vAlign w:val="center"/>
          </w:tcPr>
          <w:p w14:paraId="77AEEF49"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李  晨</w:t>
            </w:r>
          </w:p>
        </w:tc>
        <w:tc>
          <w:tcPr>
            <w:tcW w:w="4105" w:type="dxa"/>
            <w:vAlign w:val="center"/>
          </w:tcPr>
          <w:p w14:paraId="0D1EB989"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中国水产科学研究院黄海水产研究所</w:t>
            </w:r>
          </w:p>
        </w:tc>
        <w:tc>
          <w:tcPr>
            <w:tcW w:w="3119" w:type="dxa"/>
            <w:vAlign w:val="center"/>
          </w:tcPr>
          <w:p w14:paraId="6EC07F14"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参与标准编制和方法的确认</w:t>
            </w:r>
          </w:p>
        </w:tc>
      </w:tr>
      <w:tr w:rsidR="0033345F" w:rsidRPr="00AF0151" w14:paraId="00DBE2CF" w14:textId="77777777">
        <w:trPr>
          <w:jc w:val="center"/>
        </w:trPr>
        <w:tc>
          <w:tcPr>
            <w:tcW w:w="1560" w:type="dxa"/>
            <w:vAlign w:val="center"/>
          </w:tcPr>
          <w:p w14:paraId="224217B1"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proofErr w:type="gramStart"/>
            <w:r w:rsidRPr="00AF0151">
              <w:rPr>
                <w:rFonts w:ascii="仿宋" w:eastAsia="仿宋" w:hAnsi="仿宋" w:hint="eastAsia"/>
                <w:sz w:val="32"/>
                <w:szCs w:val="32"/>
              </w:rPr>
              <w:t>王君霞</w:t>
            </w:r>
            <w:proofErr w:type="gramEnd"/>
          </w:p>
        </w:tc>
        <w:tc>
          <w:tcPr>
            <w:tcW w:w="4105" w:type="dxa"/>
            <w:vAlign w:val="center"/>
          </w:tcPr>
          <w:p w14:paraId="5C93ACFA"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日照市海洋与渔业研究院</w:t>
            </w:r>
          </w:p>
        </w:tc>
        <w:tc>
          <w:tcPr>
            <w:tcW w:w="3119" w:type="dxa"/>
            <w:vAlign w:val="center"/>
          </w:tcPr>
          <w:p w14:paraId="285FDE32"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参与标准编写与适用性评价</w:t>
            </w:r>
          </w:p>
        </w:tc>
      </w:tr>
      <w:tr w:rsidR="0033345F" w:rsidRPr="00AF0151" w14:paraId="4B68EDB8" w14:textId="77777777">
        <w:trPr>
          <w:trHeight w:val="548"/>
          <w:jc w:val="center"/>
        </w:trPr>
        <w:tc>
          <w:tcPr>
            <w:tcW w:w="1560" w:type="dxa"/>
            <w:vAlign w:val="center"/>
          </w:tcPr>
          <w:p w14:paraId="0E98CCFC"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proofErr w:type="gramStart"/>
            <w:r w:rsidRPr="00AF0151">
              <w:rPr>
                <w:rFonts w:ascii="仿宋" w:eastAsia="仿宋" w:hAnsi="仿宋" w:hint="eastAsia"/>
                <w:sz w:val="32"/>
                <w:szCs w:val="32"/>
              </w:rPr>
              <w:t>徐立蒲</w:t>
            </w:r>
            <w:proofErr w:type="gramEnd"/>
          </w:p>
        </w:tc>
        <w:tc>
          <w:tcPr>
            <w:tcW w:w="4105" w:type="dxa"/>
            <w:vAlign w:val="center"/>
          </w:tcPr>
          <w:p w14:paraId="16FC925A"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北京市水产技术推广站</w:t>
            </w:r>
          </w:p>
        </w:tc>
        <w:tc>
          <w:tcPr>
            <w:tcW w:w="3119" w:type="dxa"/>
            <w:vAlign w:val="center"/>
          </w:tcPr>
          <w:p w14:paraId="72874B84"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参与标准的适用性评价</w:t>
            </w:r>
          </w:p>
        </w:tc>
      </w:tr>
      <w:tr w:rsidR="0033345F" w:rsidRPr="00AF0151" w14:paraId="234CC8C2" w14:textId="77777777">
        <w:trPr>
          <w:trHeight w:val="548"/>
          <w:jc w:val="center"/>
        </w:trPr>
        <w:tc>
          <w:tcPr>
            <w:tcW w:w="1560" w:type="dxa"/>
            <w:vAlign w:val="center"/>
          </w:tcPr>
          <w:p w14:paraId="13747726"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李杰</w:t>
            </w:r>
          </w:p>
        </w:tc>
        <w:tc>
          <w:tcPr>
            <w:tcW w:w="4105" w:type="dxa"/>
            <w:vAlign w:val="center"/>
          </w:tcPr>
          <w:p w14:paraId="760BB555"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中国水产科学研究院黄海水产研究所</w:t>
            </w:r>
          </w:p>
        </w:tc>
        <w:tc>
          <w:tcPr>
            <w:tcW w:w="3119" w:type="dxa"/>
            <w:vAlign w:val="center"/>
          </w:tcPr>
          <w:p w14:paraId="3A38777D"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参与标准方法的验证</w:t>
            </w:r>
          </w:p>
        </w:tc>
      </w:tr>
      <w:tr w:rsidR="0033345F" w:rsidRPr="00AF0151" w14:paraId="6AFFF20C" w14:textId="77777777">
        <w:trPr>
          <w:trHeight w:val="548"/>
          <w:jc w:val="center"/>
        </w:trPr>
        <w:tc>
          <w:tcPr>
            <w:tcW w:w="1560" w:type="dxa"/>
            <w:vAlign w:val="center"/>
          </w:tcPr>
          <w:p w14:paraId="53BE85DB"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刘爽</w:t>
            </w:r>
          </w:p>
        </w:tc>
        <w:tc>
          <w:tcPr>
            <w:tcW w:w="4105" w:type="dxa"/>
            <w:vAlign w:val="center"/>
          </w:tcPr>
          <w:p w14:paraId="4F21F20F"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中国水产科学研究院黄海水产研究所</w:t>
            </w:r>
          </w:p>
        </w:tc>
        <w:tc>
          <w:tcPr>
            <w:tcW w:w="3119" w:type="dxa"/>
            <w:vAlign w:val="center"/>
          </w:tcPr>
          <w:p w14:paraId="644FF892"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参与标准方法的验证</w:t>
            </w:r>
          </w:p>
        </w:tc>
      </w:tr>
      <w:tr w:rsidR="0033345F" w:rsidRPr="00AF0151" w14:paraId="6F95AC8A" w14:textId="77777777">
        <w:trPr>
          <w:jc w:val="center"/>
        </w:trPr>
        <w:tc>
          <w:tcPr>
            <w:tcW w:w="1560" w:type="dxa"/>
            <w:vAlign w:val="center"/>
          </w:tcPr>
          <w:p w14:paraId="77F59D9C"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徐婷婷</w:t>
            </w:r>
          </w:p>
        </w:tc>
        <w:tc>
          <w:tcPr>
            <w:tcW w:w="4105" w:type="dxa"/>
            <w:vAlign w:val="center"/>
          </w:tcPr>
          <w:p w14:paraId="24AC4F34"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中国水产科学研究院黄海水产研究所</w:t>
            </w:r>
          </w:p>
        </w:tc>
        <w:tc>
          <w:tcPr>
            <w:tcW w:w="3119" w:type="dxa"/>
            <w:vAlign w:val="center"/>
          </w:tcPr>
          <w:p w14:paraId="0167362A" w14:textId="77777777" w:rsidR="00610C32" w:rsidRPr="00AF0151" w:rsidRDefault="00186307" w:rsidP="00DB2B12">
            <w:pPr>
              <w:pStyle w:val="afe"/>
              <w:adjustRightInd w:val="0"/>
              <w:snapToGrid w:val="0"/>
              <w:spacing w:before="100" w:beforeAutospacing="1" w:after="100" w:afterAutospacing="1"/>
              <w:ind w:firstLineChars="0" w:firstLine="0"/>
              <w:jc w:val="center"/>
              <w:rPr>
                <w:rFonts w:ascii="仿宋" w:eastAsia="仿宋" w:hAnsi="仿宋"/>
                <w:sz w:val="32"/>
                <w:szCs w:val="32"/>
              </w:rPr>
            </w:pPr>
            <w:r w:rsidRPr="00AF0151">
              <w:rPr>
                <w:rFonts w:ascii="仿宋" w:eastAsia="仿宋" w:hAnsi="仿宋" w:hint="eastAsia"/>
                <w:sz w:val="32"/>
                <w:szCs w:val="32"/>
              </w:rPr>
              <w:t>参与标准方法的验证</w:t>
            </w:r>
          </w:p>
        </w:tc>
      </w:tr>
    </w:tbl>
    <w:p w14:paraId="5C092EAE" w14:textId="77777777" w:rsidR="00610C32" w:rsidRPr="00AF0151" w:rsidRDefault="00186307" w:rsidP="00DB2B12">
      <w:pPr>
        <w:pStyle w:val="2"/>
        <w:spacing w:before="100" w:beforeAutospacing="1" w:after="100" w:afterAutospacing="1"/>
        <w:jc w:val="both"/>
        <w:rPr>
          <w:rFonts w:ascii="仿宋" w:eastAsia="仿宋" w:hAnsi="仿宋"/>
          <w:b/>
          <w:color w:val="auto"/>
        </w:rPr>
      </w:pPr>
      <w:bookmarkStart w:id="9" w:name="二-标准编制原则和确定主要内容的依据"/>
      <w:bookmarkEnd w:id="1"/>
      <w:bookmarkEnd w:id="5"/>
      <w:bookmarkEnd w:id="8"/>
      <w:r w:rsidRPr="00AF0151">
        <w:rPr>
          <w:rFonts w:ascii="仿宋" w:eastAsia="仿宋" w:hAnsi="仿宋" w:hint="eastAsia"/>
          <w:b/>
          <w:color w:val="auto"/>
        </w:rPr>
        <w:lastRenderedPageBreak/>
        <w:t>二、</w:t>
      </w:r>
      <w:r w:rsidRPr="00AF0151">
        <w:rPr>
          <w:rFonts w:ascii="仿宋" w:eastAsia="仿宋" w:hAnsi="仿宋"/>
          <w:b/>
          <w:color w:val="auto"/>
        </w:rPr>
        <w:t xml:space="preserve"> </w:t>
      </w:r>
      <w:r w:rsidRPr="00AF0151">
        <w:rPr>
          <w:rFonts w:ascii="仿宋" w:eastAsia="仿宋" w:hAnsi="仿宋" w:hint="eastAsia"/>
          <w:b/>
          <w:color w:val="auto"/>
        </w:rPr>
        <w:t>标准编制原则、主要内容及其确定依据</w:t>
      </w:r>
    </w:p>
    <w:p w14:paraId="6750BB06" w14:textId="77777777" w:rsidR="00610C32" w:rsidRPr="00AF0151" w:rsidRDefault="00186307" w:rsidP="00DB2B12">
      <w:pPr>
        <w:pStyle w:val="3"/>
        <w:spacing w:before="100" w:beforeAutospacing="1" w:after="100" w:afterAutospacing="1"/>
        <w:jc w:val="both"/>
        <w:rPr>
          <w:rFonts w:ascii="仿宋" w:eastAsia="仿宋" w:hAnsi="仿宋"/>
          <w:b/>
          <w:color w:val="auto"/>
          <w:sz w:val="32"/>
          <w:szCs w:val="32"/>
        </w:rPr>
      </w:pPr>
      <w:bookmarkStart w:id="10" w:name="标准总体编制原则"/>
      <w:r w:rsidRPr="00AF0151">
        <w:rPr>
          <w:rFonts w:ascii="仿宋" w:eastAsia="仿宋" w:hAnsi="仿宋"/>
          <w:b/>
          <w:color w:val="auto"/>
          <w:sz w:val="32"/>
          <w:szCs w:val="32"/>
        </w:rPr>
        <w:t xml:space="preserve">1. </w:t>
      </w:r>
      <w:r w:rsidRPr="00AF0151">
        <w:rPr>
          <w:rFonts w:ascii="仿宋" w:eastAsia="仿宋" w:hAnsi="仿宋" w:hint="eastAsia"/>
          <w:b/>
          <w:color w:val="auto"/>
          <w:sz w:val="32"/>
          <w:szCs w:val="32"/>
        </w:rPr>
        <w:t>标准总体编制原则</w:t>
      </w:r>
    </w:p>
    <w:p w14:paraId="1F23D203"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本标准的</w:t>
      </w:r>
      <w:proofErr w:type="gramStart"/>
      <w:r w:rsidRPr="00AF0151">
        <w:rPr>
          <w:rFonts w:ascii="仿宋" w:eastAsia="仿宋" w:hAnsi="仿宋" w:hint="eastAsia"/>
          <w:sz w:val="32"/>
          <w:szCs w:val="32"/>
        </w:rPr>
        <w:t>研制全</w:t>
      </w:r>
      <w:proofErr w:type="gramEnd"/>
      <w:r w:rsidRPr="00AF0151">
        <w:rPr>
          <w:rFonts w:ascii="仿宋" w:eastAsia="仿宋" w:hAnsi="仿宋" w:hint="eastAsia"/>
          <w:sz w:val="32"/>
          <w:szCs w:val="32"/>
        </w:rPr>
        <w:t>过程严格恪守统一性、协调性、适用性与一致性四大基本原则</w:t>
      </w:r>
      <w:r w:rsidRPr="00AF0151">
        <w:rPr>
          <w:rFonts w:ascii="仿宋" w:eastAsia="仿宋" w:hAnsi="仿宋"/>
          <w:sz w:val="32"/>
          <w:szCs w:val="32"/>
        </w:rPr>
        <w:t xml:space="preserve"> </w:t>
      </w:r>
      <w:r w:rsidRPr="00AF0151">
        <w:rPr>
          <w:rFonts w:ascii="仿宋" w:eastAsia="仿宋" w:hAnsi="仿宋" w:hint="eastAsia"/>
          <w:sz w:val="32"/>
          <w:szCs w:val="32"/>
        </w:rPr>
        <w:t>：</w:t>
      </w:r>
    </w:p>
    <w:p w14:paraId="3C3C8818"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bCs/>
          <w:sz w:val="32"/>
          <w:szCs w:val="32"/>
        </w:rPr>
        <w:t>（1）统一性与规范性</w:t>
      </w:r>
      <w:r w:rsidRPr="00AF0151">
        <w:rPr>
          <w:rFonts w:ascii="仿宋" w:eastAsia="仿宋" w:hAnsi="仿宋" w:hint="eastAsia"/>
          <w:sz w:val="32"/>
          <w:szCs w:val="32"/>
        </w:rPr>
        <w:t>：标准的结构、文体、格式以及前言的表述方式，完全依据GB/T</w:t>
      </w:r>
      <w:r w:rsidRPr="00AF0151">
        <w:rPr>
          <w:rFonts w:ascii="仿宋" w:eastAsia="仿宋" w:hAnsi="仿宋"/>
          <w:sz w:val="32"/>
          <w:szCs w:val="32"/>
        </w:rPr>
        <w:t xml:space="preserve"> </w:t>
      </w:r>
      <w:r w:rsidRPr="00AF0151">
        <w:rPr>
          <w:rFonts w:ascii="仿宋" w:eastAsia="仿宋" w:hAnsi="仿宋" w:hint="eastAsia"/>
          <w:sz w:val="32"/>
          <w:szCs w:val="32"/>
        </w:rPr>
        <w:t>1.1—2020《标准化工作导则》的技术要求编排。关于病毒与细菌的分类学命名，全面对接国际病毒学分类委员会（ICTV）及WOAH的最新权威共识，摒弃了地方性的俗名，确保术语的科学严谨。</w:t>
      </w:r>
    </w:p>
    <w:p w14:paraId="793DD3BC"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bCs/>
          <w:sz w:val="32"/>
          <w:szCs w:val="32"/>
        </w:rPr>
        <w:t>（2）协调性</w:t>
      </w:r>
      <w:r w:rsidRPr="00AF0151">
        <w:rPr>
          <w:rFonts w:ascii="仿宋" w:eastAsia="仿宋" w:hAnsi="仿宋" w:hint="eastAsia"/>
          <w:sz w:val="32"/>
          <w:szCs w:val="32"/>
        </w:rPr>
        <w:t>：本团体标准注重与现行的《水生动物产地检疫采样技术规范》（SC/T</w:t>
      </w:r>
      <w:r w:rsidRPr="00AF0151">
        <w:rPr>
          <w:rFonts w:ascii="仿宋" w:eastAsia="仿宋" w:hAnsi="仿宋"/>
          <w:sz w:val="32"/>
          <w:szCs w:val="32"/>
        </w:rPr>
        <w:t xml:space="preserve"> </w:t>
      </w:r>
      <w:r w:rsidRPr="00AF0151">
        <w:rPr>
          <w:rFonts w:ascii="仿宋" w:eastAsia="仿宋" w:hAnsi="仿宋" w:hint="eastAsia"/>
          <w:sz w:val="32"/>
          <w:szCs w:val="32"/>
        </w:rPr>
        <w:t>7103—2008）等通用基础标准相辅相成。在具体的单项疫病确证技术上，深度融合并直接引用了GB/T</w:t>
      </w:r>
      <w:r w:rsidRPr="00AF0151">
        <w:rPr>
          <w:rFonts w:ascii="仿宋" w:eastAsia="仿宋" w:hAnsi="仿宋"/>
          <w:sz w:val="32"/>
          <w:szCs w:val="32"/>
        </w:rPr>
        <w:t xml:space="preserve"> </w:t>
      </w:r>
      <w:r w:rsidRPr="00AF0151">
        <w:rPr>
          <w:rFonts w:ascii="仿宋" w:eastAsia="仿宋" w:hAnsi="仿宋" w:hint="eastAsia"/>
          <w:sz w:val="32"/>
          <w:szCs w:val="32"/>
        </w:rPr>
        <w:t>15805系列（鱼类疫病诊断规程）、GB/T</w:t>
      </w:r>
      <w:r w:rsidRPr="00AF0151">
        <w:rPr>
          <w:rFonts w:ascii="仿宋" w:eastAsia="仿宋" w:hAnsi="仿宋"/>
          <w:sz w:val="32"/>
          <w:szCs w:val="32"/>
        </w:rPr>
        <w:t xml:space="preserve"> </w:t>
      </w:r>
      <w:r w:rsidRPr="00AF0151">
        <w:rPr>
          <w:rFonts w:ascii="仿宋" w:eastAsia="仿宋" w:hAnsi="仿宋" w:hint="eastAsia"/>
          <w:sz w:val="32"/>
          <w:szCs w:val="32"/>
        </w:rPr>
        <w:t>47228—2026（IPN诊断方法）及SC/T</w:t>
      </w:r>
      <w:r w:rsidRPr="00AF0151">
        <w:rPr>
          <w:rFonts w:ascii="仿宋" w:eastAsia="仿宋" w:hAnsi="仿宋"/>
          <w:sz w:val="32"/>
          <w:szCs w:val="32"/>
        </w:rPr>
        <w:t xml:space="preserve"> </w:t>
      </w:r>
      <w:r w:rsidRPr="00AF0151">
        <w:rPr>
          <w:rFonts w:ascii="仿宋" w:eastAsia="仿宋" w:hAnsi="仿宋" w:hint="eastAsia"/>
          <w:sz w:val="32"/>
          <w:szCs w:val="32"/>
        </w:rPr>
        <w:t>7245—2025（BKD诊断方法）等现行国家</w:t>
      </w:r>
      <w:r w:rsidR="00DB2B12" w:rsidRPr="00AF0151">
        <w:rPr>
          <w:rFonts w:ascii="仿宋" w:eastAsia="仿宋" w:hAnsi="仿宋" w:hint="eastAsia"/>
          <w:sz w:val="32"/>
          <w:szCs w:val="32"/>
        </w:rPr>
        <w:t>、</w:t>
      </w:r>
      <w:r w:rsidRPr="00AF0151">
        <w:rPr>
          <w:rFonts w:ascii="仿宋" w:eastAsia="仿宋" w:hAnsi="仿宋" w:hint="eastAsia"/>
          <w:sz w:val="32"/>
          <w:szCs w:val="32"/>
        </w:rPr>
        <w:t>行业</w:t>
      </w:r>
      <w:r w:rsidR="00DB2B12" w:rsidRPr="00AF0151">
        <w:rPr>
          <w:rFonts w:ascii="仿宋" w:eastAsia="仿宋" w:hAnsi="仿宋" w:hint="eastAsia"/>
          <w:sz w:val="32"/>
          <w:szCs w:val="32"/>
        </w:rPr>
        <w:t>及海关检疫技术</w:t>
      </w:r>
      <w:r w:rsidRPr="00AF0151">
        <w:rPr>
          <w:rFonts w:ascii="仿宋" w:eastAsia="仿宋" w:hAnsi="仿宋" w:hint="eastAsia"/>
          <w:sz w:val="32"/>
          <w:szCs w:val="32"/>
        </w:rPr>
        <w:t>标准，有效避免了标准间的技术冲突</w:t>
      </w:r>
      <w:r w:rsidRPr="00AF0151">
        <w:rPr>
          <w:rFonts w:ascii="仿宋" w:eastAsia="仿宋" w:hAnsi="仿宋"/>
          <w:sz w:val="32"/>
          <w:szCs w:val="32"/>
        </w:rPr>
        <w:t>。</w:t>
      </w:r>
    </w:p>
    <w:p w14:paraId="53F0DD64"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bCs/>
          <w:sz w:val="32"/>
          <w:szCs w:val="32"/>
        </w:rPr>
        <w:t>（3）适用性与可操作性</w:t>
      </w:r>
      <w:r w:rsidRPr="00AF0151">
        <w:rPr>
          <w:rFonts w:ascii="仿宋" w:eastAsia="仿宋" w:hAnsi="仿宋" w:hint="eastAsia"/>
          <w:sz w:val="32"/>
          <w:szCs w:val="32"/>
        </w:rPr>
        <w:t>：本标准充分</w:t>
      </w:r>
      <w:proofErr w:type="gramStart"/>
      <w:r w:rsidRPr="00AF0151">
        <w:rPr>
          <w:rFonts w:ascii="仿宋" w:eastAsia="仿宋" w:hAnsi="仿宋" w:hint="eastAsia"/>
          <w:sz w:val="32"/>
          <w:szCs w:val="32"/>
        </w:rPr>
        <w:t>考量</w:t>
      </w:r>
      <w:proofErr w:type="gramEnd"/>
      <w:r w:rsidRPr="00AF0151">
        <w:rPr>
          <w:rFonts w:ascii="仿宋" w:eastAsia="仿宋" w:hAnsi="仿宋" w:hint="eastAsia"/>
          <w:sz w:val="32"/>
          <w:szCs w:val="32"/>
        </w:rPr>
        <w:t>了我国海洋渔业装备的发展现状。例如，考虑到海上平台冷链物流体系尚不完善，新鲜组织块极易腐败降解，本规范在样品保存条款中，专门采用了利用核酸保存液（</w:t>
      </w:r>
      <w:proofErr w:type="spellStart"/>
      <w:r w:rsidRPr="00AF0151">
        <w:rPr>
          <w:rFonts w:ascii="仿宋" w:eastAsia="仿宋" w:hAnsi="仿宋" w:hint="eastAsia"/>
          <w:sz w:val="32"/>
          <w:szCs w:val="32"/>
        </w:rPr>
        <w:t>RNAlater</w:t>
      </w:r>
      <w:proofErr w:type="spellEnd"/>
      <w:r w:rsidRPr="00AF0151">
        <w:rPr>
          <w:rFonts w:ascii="仿宋" w:eastAsia="仿宋" w:hAnsi="仿宋" w:hint="eastAsia"/>
          <w:sz w:val="32"/>
          <w:szCs w:val="32"/>
        </w:rPr>
        <w:t>等）或95%以上浓度乙醇进行常温固定分子生物学样品的选项，极大增强了偏远海岛及</w:t>
      </w:r>
      <w:proofErr w:type="gramStart"/>
      <w:r w:rsidRPr="00AF0151">
        <w:rPr>
          <w:rFonts w:ascii="仿宋" w:eastAsia="仿宋" w:hAnsi="仿宋" w:hint="eastAsia"/>
          <w:sz w:val="32"/>
          <w:szCs w:val="32"/>
        </w:rPr>
        <w:t>工船环境</w:t>
      </w:r>
      <w:proofErr w:type="gramEnd"/>
      <w:r w:rsidRPr="00AF0151">
        <w:rPr>
          <w:rFonts w:ascii="仿宋" w:eastAsia="仿宋" w:hAnsi="仿宋" w:hint="eastAsia"/>
          <w:sz w:val="32"/>
          <w:szCs w:val="32"/>
        </w:rPr>
        <w:t>下的采样可行性</w:t>
      </w:r>
      <w:r w:rsidRPr="00AF0151">
        <w:rPr>
          <w:rFonts w:ascii="仿宋" w:eastAsia="仿宋" w:hAnsi="仿宋"/>
          <w:sz w:val="32"/>
          <w:szCs w:val="32"/>
        </w:rPr>
        <w:t xml:space="preserve"> 。</w:t>
      </w:r>
    </w:p>
    <w:p w14:paraId="5A6A162D"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bCs/>
          <w:sz w:val="32"/>
          <w:szCs w:val="32"/>
        </w:rPr>
        <w:t>（4）先进性与前瞻性</w:t>
      </w:r>
      <w:r w:rsidRPr="00AF0151">
        <w:rPr>
          <w:rFonts w:ascii="仿宋" w:eastAsia="仿宋" w:hAnsi="仿宋" w:hint="eastAsia"/>
          <w:sz w:val="32"/>
          <w:szCs w:val="32"/>
        </w:rPr>
        <w:t>：标准不仅聚焦于已在我国广泛流行的本土化病原（如IHN），同时紧盯极有可能通过国际贸易或野生鱼类洄游引入的高风险外来病原（如SRS）。此外，本规范首次在我国水产行业或团体标准体系中系统性地引入了海</w:t>
      </w:r>
      <w:proofErr w:type="gramStart"/>
      <w:r w:rsidRPr="00AF0151">
        <w:rPr>
          <w:rFonts w:ascii="仿宋" w:eastAsia="仿宋" w:hAnsi="仿宋" w:hint="eastAsia"/>
          <w:sz w:val="32"/>
          <w:szCs w:val="32"/>
        </w:rPr>
        <w:lastRenderedPageBreak/>
        <w:t>虱</w:t>
      </w:r>
      <w:proofErr w:type="gramEnd"/>
      <w:r w:rsidRPr="00AF0151">
        <w:rPr>
          <w:rFonts w:ascii="仿宋" w:eastAsia="仿宋" w:hAnsi="仿宋" w:hint="eastAsia"/>
          <w:sz w:val="32"/>
          <w:szCs w:val="32"/>
        </w:rPr>
        <w:t>的量化监测与触发干预阈值，填补了国内海洋寄生虫福利化管理的空白，展现了极强的国际前瞻性，也为防控海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引入风险提供了技术支持</w:t>
      </w:r>
      <w:r w:rsidRPr="00AF0151">
        <w:rPr>
          <w:rFonts w:ascii="仿宋" w:eastAsia="仿宋" w:hAnsi="仿宋"/>
          <w:sz w:val="32"/>
          <w:szCs w:val="32"/>
        </w:rPr>
        <w:t>。</w:t>
      </w:r>
    </w:p>
    <w:p w14:paraId="32E195D0" w14:textId="77777777" w:rsidR="00610C32" w:rsidRPr="00AF0151" w:rsidRDefault="00186307" w:rsidP="00DB2B12">
      <w:pPr>
        <w:pStyle w:val="3"/>
        <w:spacing w:before="100" w:beforeAutospacing="1" w:after="100" w:afterAutospacing="1"/>
        <w:jc w:val="both"/>
        <w:rPr>
          <w:rFonts w:ascii="仿宋" w:eastAsia="仿宋" w:hAnsi="仿宋"/>
          <w:b/>
          <w:color w:val="auto"/>
          <w:sz w:val="32"/>
          <w:szCs w:val="32"/>
        </w:rPr>
      </w:pPr>
      <w:bookmarkStart w:id="11" w:name="监测策略与技术设计依据"/>
      <w:bookmarkEnd w:id="10"/>
      <w:r w:rsidRPr="00AF0151">
        <w:rPr>
          <w:rFonts w:ascii="仿宋" w:eastAsia="仿宋" w:hAnsi="仿宋"/>
          <w:b/>
          <w:color w:val="auto"/>
          <w:sz w:val="32"/>
          <w:szCs w:val="32"/>
        </w:rPr>
        <w:t xml:space="preserve">2. </w:t>
      </w:r>
      <w:r w:rsidRPr="00AF0151">
        <w:rPr>
          <w:rFonts w:ascii="仿宋" w:eastAsia="仿宋" w:hAnsi="仿宋" w:hint="eastAsia"/>
          <w:b/>
          <w:color w:val="auto"/>
          <w:sz w:val="32"/>
          <w:szCs w:val="32"/>
        </w:rPr>
        <w:t>主要内容及其确定依据</w:t>
      </w:r>
    </w:p>
    <w:p w14:paraId="133D21C2" w14:textId="77777777" w:rsidR="00610C32" w:rsidRPr="00AF0151" w:rsidRDefault="00186307" w:rsidP="00DB2B12">
      <w:pPr>
        <w:pStyle w:val="4"/>
        <w:adjustRightInd w:val="0"/>
        <w:snapToGrid w:val="0"/>
        <w:spacing w:before="100" w:beforeAutospacing="1" w:after="100" w:afterAutospacing="1"/>
        <w:jc w:val="both"/>
        <w:rPr>
          <w:rFonts w:ascii="仿宋" w:eastAsia="仿宋" w:hAnsi="仿宋"/>
          <w:b/>
          <w:bCs/>
          <w:i w:val="0"/>
          <w:iCs w:val="0"/>
          <w:color w:val="auto"/>
          <w:sz w:val="32"/>
          <w:szCs w:val="32"/>
        </w:rPr>
      </w:pPr>
      <w:bookmarkStart w:id="12" w:name="核心监测病原的选择逻辑与流行病学依据"/>
      <w:r w:rsidRPr="00AF0151">
        <w:rPr>
          <w:rFonts w:ascii="仿宋" w:eastAsia="仿宋" w:hAnsi="仿宋"/>
          <w:b/>
          <w:bCs/>
          <w:i w:val="0"/>
          <w:iCs w:val="0"/>
          <w:color w:val="auto"/>
          <w:sz w:val="32"/>
          <w:szCs w:val="32"/>
        </w:rPr>
        <w:t xml:space="preserve">2.1 </w:t>
      </w:r>
      <w:r w:rsidRPr="00AF0151">
        <w:rPr>
          <w:rFonts w:ascii="仿宋" w:eastAsia="仿宋" w:hAnsi="仿宋" w:hint="eastAsia"/>
          <w:b/>
          <w:bCs/>
          <w:i w:val="0"/>
          <w:iCs w:val="0"/>
          <w:color w:val="auto"/>
          <w:sz w:val="32"/>
          <w:szCs w:val="32"/>
        </w:rPr>
        <w:t>核心监测病原的选择逻辑与流行病学依据</w:t>
      </w:r>
    </w:p>
    <w:p w14:paraId="2B44D71C"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本标准所遴选的</w:t>
      </w:r>
      <w:r w:rsidR="00AC4954" w:rsidRPr="00AF0151">
        <w:rPr>
          <w:rFonts w:ascii="仿宋" w:eastAsia="仿宋" w:hAnsi="仿宋" w:hint="eastAsia"/>
          <w:sz w:val="32"/>
          <w:szCs w:val="32"/>
        </w:rPr>
        <w:t>1</w:t>
      </w:r>
      <w:r w:rsidR="00AC4954" w:rsidRPr="00AF0151">
        <w:rPr>
          <w:rFonts w:ascii="仿宋" w:eastAsia="仿宋" w:hAnsi="仿宋"/>
          <w:sz w:val="32"/>
          <w:szCs w:val="32"/>
        </w:rPr>
        <w:t>3</w:t>
      </w:r>
      <w:r w:rsidR="00AC4954" w:rsidRPr="00AF0151">
        <w:rPr>
          <w:rFonts w:ascii="仿宋" w:eastAsia="仿宋" w:hAnsi="仿宋" w:hint="eastAsia"/>
          <w:sz w:val="32"/>
          <w:szCs w:val="32"/>
        </w:rPr>
        <w:t>种</w:t>
      </w:r>
      <w:r w:rsidRPr="00AF0151">
        <w:rPr>
          <w:rFonts w:ascii="仿宋" w:eastAsia="仿宋" w:hAnsi="仿宋" w:hint="eastAsia"/>
          <w:sz w:val="32"/>
          <w:szCs w:val="32"/>
        </w:rPr>
        <w:t>重要疫病，是基于对病原生物学特性、致死率、经济危害性以及在海水环境中的传播潜能进行综合评估后确定的。</w:t>
      </w:r>
    </w:p>
    <w:p w14:paraId="0AFD1987" w14:textId="77777777" w:rsidR="00186307" w:rsidRPr="00AF0151" w:rsidRDefault="00186307" w:rsidP="00DB2B12">
      <w:pPr>
        <w:pStyle w:val="a1"/>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（1）传染性造血器官坏死病（IHN）</w:t>
      </w:r>
      <w:r w:rsidRPr="00AF0151">
        <w:rPr>
          <w:rFonts w:ascii="仿宋" w:eastAsia="仿宋" w:hAnsi="仿宋"/>
          <w:sz w:val="32"/>
          <w:szCs w:val="32"/>
        </w:rPr>
        <w:t xml:space="preserve"> </w:t>
      </w:r>
    </w:p>
    <w:p w14:paraId="2AC9070B" w14:textId="77777777" w:rsidR="00610C32" w:rsidRPr="00AF0151" w:rsidRDefault="00186307" w:rsidP="00DB2B12">
      <w:pPr>
        <w:pStyle w:val="a1"/>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IHN是由传染性造血器官坏死病毒（</w:t>
      </w:r>
      <w:r w:rsidRPr="00AF0151">
        <w:rPr>
          <w:rFonts w:ascii="仿宋" w:eastAsia="仿宋" w:hAnsi="仿宋"/>
          <w:sz w:val="32"/>
          <w:szCs w:val="32"/>
        </w:rPr>
        <w:t>infectious hematopoietic necrosis virus</w:t>
      </w:r>
      <w:r w:rsidRPr="00AF0151">
        <w:rPr>
          <w:rFonts w:ascii="仿宋" w:eastAsia="仿宋" w:hAnsi="仿宋" w:hint="eastAsia"/>
          <w:sz w:val="32"/>
          <w:szCs w:val="32"/>
        </w:rPr>
        <w:t>，IHNV）引起的高度接触性、急性传染病，WOAH将其列为必须申报疫病，我国列为二类动物疫病</w:t>
      </w:r>
      <w:r w:rsidRPr="00AF0151">
        <w:rPr>
          <w:rFonts w:ascii="仿宋" w:eastAsia="仿宋" w:hAnsi="仿宋"/>
          <w:sz w:val="32"/>
          <w:szCs w:val="32"/>
        </w:rPr>
        <w:t xml:space="preserve"> </w:t>
      </w:r>
      <w:r w:rsidRPr="00AF0151">
        <w:rPr>
          <w:rFonts w:ascii="仿宋" w:eastAsia="仿宋" w:hAnsi="仿宋" w:hint="eastAsia"/>
          <w:sz w:val="32"/>
          <w:szCs w:val="32"/>
        </w:rPr>
        <w:t>。IHNV</w:t>
      </w:r>
      <w:proofErr w:type="gramStart"/>
      <w:r w:rsidRPr="00AF0151">
        <w:rPr>
          <w:rFonts w:ascii="仿宋" w:eastAsia="仿宋" w:hAnsi="仿宋" w:hint="eastAsia"/>
          <w:sz w:val="32"/>
          <w:szCs w:val="32"/>
        </w:rPr>
        <w:t>属于弹状病毒</w:t>
      </w:r>
      <w:proofErr w:type="gramEnd"/>
      <w:r w:rsidRPr="00AF0151">
        <w:rPr>
          <w:rFonts w:ascii="仿宋" w:eastAsia="仿宋" w:hAnsi="仿宋" w:hint="eastAsia"/>
          <w:sz w:val="32"/>
          <w:szCs w:val="32"/>
        </w:rPr>
        <w:t>科（</w:t>
      </w:r>
      <w:proofErr w:type="spellStart"/>
      <w:r w:rsidRPr="00AF0151">
        <w:rPr>
          <w:rFonts w:ascii="仿宋" w:eastAsia="仿宋" w:hAnsi="仿宋"/>
          <w:i/>
          <w:iCs/>
          <w:sz w:val="32"/>
          <w:szCs w:val="32"/>
        </w:rPr>
        <w:t>Rhabdoviridae</w:t>
      </w:r>
      <w:proofErr w:type="spellEnd"/>
      <w:r w:rsidRPr="00AF0151">
        <w:rPr>
          <w:rFonts w:ascii="仿宋" w:eastAsia="仿宋" w:hAnsi="仿宋" w:hint="eastAsia"/>
          <w:sz w:val="32"/>
          <w:szCs w:val="32"/>
        </w:rPr>
        <w:t>）、新弹状病毒属，其单股负链RNA基因组编码N、P、M、G、NV及L等6种蛋白质。该病毒对10℃～14℃的冷水环境极其适应。根据《2024年传染性造血器官坏死病状况分析》权威报告，我国11个省份共设置99个监测点（涉及134份独立样品），整体阳性检出率约为4.0%。然而，深入剖析数据发现，在针对原良种场和重点苗种场的37份样品中，检出3份阳性（阳性率8.1%）；而在成鱼场的81份样品中仅检出1份阳性（阳性率1.2%）（图</w:t>
      </w:r>
      <w:r w:rsidRPr="00AF0151">
        <w:rPr>
          <w:rFonts w:ascii="仿宋" w:eastAsia="仿宋" w:hAnsi="仿宋"/>
          <w:sz w:val="32"/>
          <w:szCs w:val="32"/>
        </w:rPr>
        <w:t>2-1</w:t>
      </w:r>
      <w:r w:rsidRPr="00AF0151">
        <w:rPr>
          <w:rFonts w:ascii="仿宋" w:eastAsia="仿宋" w:hAnsi="仿宋" w:hint="eastAsia"/>
          <w:sz w:val="32"/>
          <w:szCs w:val="32"/>
        </w:rPr>
        <w:t>）。这对比数据揭示了不可忽视的隐患：病毒主要潜伏于苗种阶段。一旦这些看似健康但处于亚临床隐性感染状态（带毒状态）的幼鱼被转运至海水网箱，遭遇渗透压剧变的应激，潜伏病毒将迅速激活并大量复制，引发暴发性死亡。</w:t>
      </w:r>
    </w:p>
    <w:p w14:paraId="7D1FF0E8" w14:textId="77777777" w:rsidR="00610C32" w:rsidRPr="00AF0151" w:rsidRDefault="00186307" w:rsidP="00DB2B12">
      <w:pPr>
        <w:pStyle w:val="a1"/>
        <w:adjustRightInd w:val="0"/>
        <w:snapToGrid w:val="0"/>
        <w:spacing w:before="100" w:beforeAutospacing="1" w:after="100" w:afterAutospacing="1"/>
        <w:jc w:val="center"/>
        <w:rPr>
          <w:rFonts w:ascii="仿宋" w:eastAsia="仿宋" w:hAnsi="仿宋"/>
          <w:sz w:val="32"/>
          <w:szCs w:val="32"/>
        </w:rPr>
      </w:pPr>
      <w:r w:rsidRPr="00AF0151">
        <w:rPr>
          <w:rFonts w:ascii="仿宋" w:eastAsia="仿宋" w:hAnsi="仿宋"/>
          <w:noProof/>
          <w:sz w:val="32"/>
          <w:szCs w:val="32"/>
        </w:rPr>
        <w:lastRenderedPageBreak/>
        <w:drawing>
          <wp:inline distT="0" distB="0" distL="0" distR="0" wp14:anchorId="2528BCD7" wp14:editId="26E14213">
            <wp:extent cx="4057650" cy="2679773"/>
            <wp:effectExtent l="0" t="0" r="0" b="6350"/>
            <wp:docPr id="1026"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 cstate="print"/>
                    <a:srcRect b="17253"/>
                    <a:stretch/>
                  </pic:blipFill>
                  <pic:spPr>
                    <a:xfrm>
                      <a:off x="0" y="0"/>
                      <a:ext cx="4057650" cy="2679773"/>
                    </a:xfrm>
                    <a:prstGeom prst="rect">
                      <a:avLst/>
                    </a:prstGeom>
                    <a:ln>
                      <a:noFill/>
                    </a:ln>
                  </pic:spPr>
                </pic:pic>
              </a:graphicData>
            </a:graphic>
          </wp:inline>
        </w:drawing>
      </w:r>
    </w:p>
    <w:p w14:paraId="4D69F229" w14:textId="77777777" w:rsidR="00610C32" w:rsidRPr="00AF0151" w:rsidRDefault="00186307" w:rsidP="00DB2B12">
      <w:pPr>
        <w:pStyle w:val="a1"/>
        <w:adjustRightInd w:val="0"/>
        <w:snapToGrid w:val="0"/>
        <w:spacing w:before="100" w:beforeAutospacing="1" w:after="100" w:afterAutospacing="1"/>
        <w:jc w:val="center"/>
        <w:rPr>
          <w:rFonts w:ascii="仿宋" w:eastAsia="仿宋" w:hAnsi="仿宋"/>
          <w:sz w:val="32"/>
          <w:szCs w:val="32"/>
        </w:rPr>
      </w:pPr>
      <w:r w:rsidRPr="00AF0151">
        <w:rPr>
          <w:rFonts w:ascii="仿宋" w:eastAsia="仿宋" w:hAnsi="仿宋" w:hint="eastAsia"/>
          <w:sz w:val="32"/>
          <w:szCs w:val="32"/>
        </w:rPr>
        <w:t>图</w:t>
      </w:r>
      <w:r w:rsidRPr="00AF0151">
        <w:rPr>
          <w:rFonts w:ascii="仿宋" w:eastAsia="仿宋" w:hAnsi="仿宋"/>
          <w:sz w:val="32"/>
          <w:szCs w:val="32"/>
        </w:rPr>
        <w:t>2-1</w:t>
      </w:r>
      <w:r w:rsidRPr="00AF0151">
        <w:rPr>
          <w:rFonts w:ascii="仿宋" w:eastAsia="仿宋" w:hAnsi="仿宋" w:hint="eastAsia"/>
          <w:sz w:val="32"/>
          <w:szCs w:val="32"/>
        </w:rPr>
        <w:t xml:space="preserve"> </w:t>
      </w:r>
      <w:r w:rsidRPr="00AF0151">
        <w:rPr>
          <w:rFonts w:ascii="仿宋" w:eastAsia="仿宋" w:hAnsi="仿宋"/>
          <w:sz w:val="32"/>
          <w:szCs w:val="32"/>
        </w:rPr>
        <w:t xml:space="preserve"> </w:t>
      </w:r>
      <w:r w:rsidRPr="00AF0151">
        <w:rPr>
          <w:rFonts w:ascii="仿宋" w:eastAsia="仿宋" w:hAnsi="仿宋" w:hint="eastAsia"/>
          <w:sz w:val="32"/>
          <w:szCs w:val="32"/>
        </w:rPr>
        <w:t>近期关于传染性造血器官坏死病（IHN）和传染性胰脏坏死病（IPN）的监测情况</w:t>
      </w:r>
    </w:p>
    <w:p w14:paraId="747BEEBA" w14:textId="77777777" w:rsidR="00610C32" w:rsidRPr="00AF0151" w:rsidRDefault="00186307" w:rsidP="00DB2B12">
      <w:pPr>
        <w:pStyle w:val="a1"/>
        <w:adjustRightInd w:val="0"/>
        <w:snapToGrid w:val="0"/>
        <w:spacing w:before="100" w:beforeAutospacing="1" w:after="100" w:afterAutospacing="1"/>
        <w:jc w:val="center"/>
        <w:rPr>
          <w:rFonts w:ascii="仿宋" w:eastAsia="仿宋" w:hAnsi="仿宋"/>
          <w:sz w:val="32"/>
          <w:szCs w:val="32"/>
        </w:rPr>
      </w:pPr>
      <w:r w:rsidRPr="00AF0151">
        <w:rPr>
          <w:rFonts w:ascii="仿宋" w:eastAsia="仿宋" w:hAnsi="仿宋" w:hint="eastAsia"/>
          <w:sz w:val="32"/>
          <w:szCs w:val="32"/>
        </w:rPr>
        <w:t>数据来源：《2025我国水生动物重要疫病状况分析》中《2024年传染性造血器官坏死病（IHN）状况分析》与《2024年传染性胰脏坏死病（IPN）状况分析》章节。值得注意的是，虽然全国平均阳性率维持在较低水平，但苗种环节的高检出率揭示了垂直传播与早期感染的巨大风险。</w:t>
      </w:r>
    </w:p>
    <w:p w14:paraId="51823B9F" w14:textId="77777777" w:rsidR="00186307" w:rsidRPr="00AF0151" w:rsidRDefault="00186307" w:rsidP="00DB2B12">
      <w:pPr>
        <w:pStyle w:val="a1"/>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（2）传染性胰脏坏死病（IPN）</w:t>
      </w:r>
      <w:r w:rsidRPr="00AF0151">
        <w:rPr>
          <w:rFonts w:ascii="仿宋" w:eastAsia="仿宋" w:hAnsi="仿宋"/>
          <w:sz w:val="32"/>
          <w:szCs w:val="32"/>
        </w:rPr>
        <w:t xml:space="preserve"> </w:t>
      </w:r>
    </w:p>
    <w:p w14:paraId="0C362BE4" w14:textId="77777777" w:rsidR="00610C32" w:rsidRPr="00AF0151" w:rsidRDefault="00186307" w:rsidP="00DB2B12">
      <w:pPr>
        <w:pStyle w:val="a1"/>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IPN由传染性胰脏坏死病毒（</w:t>
      </w:r>
      <w:r w:rsidRPr="00AF0151">
        <w:rPr>
          <w:rFonts w:ascii="仿宋" w:eastAsia="仿宋" w:hAnsi="仿宋"/>
          <w:sz w:val="32"/>
          <w:szCs w:val="32"/>
        </w:rPr>
        <w:t>Infectious pancreatic necrosis virus</w:t>
      </w:r>
      <w:r w:rsidRPr="00AF0151">
        <w:rPr>
          <w:rFonts w:ascii="仿宋" w:eastAsia="仿宋" w:hAnsi="仿宋" w:hint="eastAsia"/>
          <w:sz w:val="32"/>
          <w:szCs w:val="32"/>
        </w:rPr>
        <w:t>，IPNV）引起，属双股RNA病毒科，同样被我国列为三类动物疫病。根据《2025我国水生动物重要疫病状况分析》中《2024年传染性胰脏坏死病状况分析》章节的报告，全国31个监测点（共抽取39批次样品）中，共有2个监测点检出IPNV阳性，总体点阳性率为6.5%（图</w:t>
      </w:r>
      <w:r w:rsidRPr="00AF0151">
        <w:rPr>
          <w:rFonts w:ascii="仿宋" w:eastAsia="仿宋" w:hAnsi="仿宋"/>
          <w:sz w:val="32"/>
          <w:szCs w:val="32"/>
        </w:rPr>
        <w:t>2-1</w:t>
      </w:r>
      <w:r w:rsidRPr="00AF0151">
        <w:rPr>
          <w:rFonts w:ascii="仿宋" w:eastAsia="仿宋" w:hAnsi="仿宋" w:hint="eastAsia"/>
          <w:sz w:val="32"/>
          <w:szCs w:val="32"/>
        </w:rPr>
        <w:t>）。IPNV是已知鱼类病毒中环境稳定性极强的病毒之一，在无宿主的海水中可存活数月，且极难通过常规手段彻底清除。报告数据同样显示，其在苗种场的检出比例高企，且可通过带毒亲鱼的生</w:t>
      </w:r>
      <w:r w:rsidRPr="00AF0151">
        <w:rPr>
          <w:rFonts w:ascii="仿宋" w:eastAsia="仿宋" w:hAnsi="仿宋" w:hint="eastAsia"/>
          <w:sz w:val="32"/>
          <w:szCs w:val="32"/>
        </w:rPr>
        <w:lastRenderedPageBreak/>
        <w:t>殖</w:t>
      </w:r>
      <w:proofErr w:type="gramStart"/>
      <w:r w:rsidRPr="00AF0151">
        <w:rPr>
          <w:rFonts w:ascii="仿宋" w:eastAsia="仿宋" w:hAnsi="仿宋" w:hint="eastAsia"/>
          <w:sz w:val="32"/>
          <w:szCs w:val="32"/>
        </w:rPr>
        <w:t>液实现</w:t>
      </w:r>
      <w:proofErr w:type="gramEnd"/>
      <w:r w:rsidRPr="00AF0151">
        <w:rPr>
          <w:rFonts w:ascii="仿宋" w:eastAsia="仿宋" w:hAnsi="仿宋" w:hint="eastAsia"/>
          <w:sz w:val="32"/>
          <w:szCs w:val="32"/>
        </w:rPr>
        <w:t>垂直传播。因此，将IPN</w:t>
      </w:r>
      <w:proofErr w:type="gramStart"/>
      <w:r w:rsidRPr="00AF0151">
        <w:rPr>
          <w:rFonts w:ascii="仿宋" w:eastAsia="仿宋" w:hAnsi="仿宋" w:hint="eastAsia"/>
          <w:sz w:val="32"/>
          <w:szCs w:val="32"/>
        </w:rPr>
        <w:t>纳入深远海</w:t>
      </w:r>
      <w:proofErr w:type="gramEnd"/>
      <w:r w:rsidRPr="00AF0151">
        <w:rPr>
          <w:rFonts w:ascii="仿宋" w:eastAsia="仿宋" w:hAnsi="仿宋" w:hint="eastAsia"/>
          <w:sz w:val="32"/>
          <w:szCs w:val="32"/>
        </w:rPr>
        <w:t>长期主动监测不仅必要，更是保护海洋无疫区生态的重中之重。</w:t>
      </w:r>
    </w:p>
    <w:p w14:paraId="153E773D" w14:textId="77777777" w:rsidR="00186307" w:rsidRPr="00AF0151" w:rsidRDefault="00186307" w:rsidP="00DB2B12">
      <w:pPr>
        <w:pStyle w:val="a1"/>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（3）病毒性出血性败血症（VHS）</w:t>
      </w:r>
      <w:r w:rsidRPr="00AF0151">
        <w:rPr>
          <w:rFonts w:ascii="仿宋" w:eastAsia="仿宋" w:hAnsi="仿宋"/>
          <w:sz w:val="32"/>
          <w:szCs w:val="32"/>
        </w:rPr>
        <w:t xml:space="preserve"> </w:t>
      </w:r>
    </w:p>
    <w:p w14:paraId="1871157C" w14:textId="77777777" w:rsidR="00EF7444" w:rsidRPr="00AF0151" w:rsidRDefault="00186307" w:rsidP="00DB2B12">
      <w:pPr>
        <w:pStyle w:val="a1"/>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VHS是由病毒性出血性败血症病毒（</w:t>
      </w:r>
      <w:r w:rsidRPr="00AF0151">
        <w:rPr>
          <w:rFonts w:ascii="仿宋" w:eastAsia="仿宋" w:hAnsi="仿宋"/>
          <w:sz w:val="32"/>
          <w:szCs w:val="32"/>
        </w:rPr>
        <w:t>Viral hemorrhagic septicemia virus</w:t>
      </w:r>
      <w:r w:rsidRPr="00AF0151">
        <w:rPr>
          <w:rFonts w:ascii="仿宋" w:eastAsia="仿宋" w:hAnsi="仿宋" w:hint="eastAsia"/>
          <w:sz w:val="32"/>
          <w:szCs w:val="32"/>
        </w:rPr>
        <w:t>，VHSV，同样</w:t>
      </w:r>
      <w:proofErr w:type="gramStart"/>
      <w:r w:rsidRPr="00AF0151">
        <w:rPr>
          <w:rFonts w:ascii="仿宋" w:eastAsia="仿宋" w:hAnsi="仿宋" w:hint="eastAsia"/>
          <w:sz w:val="32"/>
          <w:szCs w:val="32"/>
        </w:rPr>
        <w:t>属弹状</w:t>
      </w:r>
      <w:proofErr w:type="gramEnd"/>
      <w:r w:rsidRPr="00AF0151">
        <w:rPr>
          <w:rFonts w:ascii="仿宋" w:eastAsia="仿宋" w:hAnsi="仿宋" w:hint="eastAsia"/>
          <w:sz w:val="32"/>
          <w:szCs w:val="32"/>
        </w:rPr>
        <w:t>病毒科）引起的高致死率疾病。尽管目前在我国养殖区呈散发态势，但其在北半球（包括欧洲、北美及东亚）的海洋野生鱼类和养殖</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中广泛流行。由于深远海养殖平台的水温环境（往往徘徊于4℃～14℃的冷水域）正是VHSV最适宜复制的温度区间，且该病毒在海水中具极强感染力，一旦随外源海水或野生杂鱼（作为饲料或过客）传入网箱，将引发毁灭性的交叉感染。</w:t>
      </w:r>
    </w:p>
    <w:p w14:paraId="455203F9" w14:textId="77777777" w:rsidR="00186307" w:rsidRPr="00AF0151" w:rsidRDefault="00EF7444" w:rsidP="00DB2B12">
      <w:pPr>
        <w:pStyle w:val="a1"/>
        <w:adjustRightInd w:val="0"/>
        <w:snapToGrid w:val="0"/>
        <w:spacing w:before="100" w:beforeAutospacing="1" w:after="100" w:afterAutospacing="1"/>
        <w:ind w:firstLineChars="200" w:firstLine="643"/>
        <w:jc w:val="both"/>
        <w:rPr>
          <w:rFonts w:ascii="仿宋" w:eastAsia="仿宋" w:hAnsi="仿宋"/>
          <w:b/>
          <w:bCs/>
          <w:sz w:val="32"/>
          <w:szCs w:val="32"/>
        </w:rPr>
      </w:pPr>
      <w:r w:rsidRPr="00AF0151">
        <w:rPr>
          <w:rFonts w:ascii="仿宋" w:eastAsia="仿宋" w:hAnsi="仿宋" w:hint="eastAsia"/>
          <w:b/>
          <w:bCs/>
          <w:sz w:val="32"/>
          <w:szCs w:val="32"/>
        </w:rPr>
        <w:t>（</w:t>
      </w:r>
      <w:r w:rsidRPr="00AF0151">
        <w:rPr>
          <w:rFonts w:ascii="仿宋" w:eastAsia="仿宋" w:hAnsi="仿宋"/>
          <w:b/>
          <w:bCs/>
          <w:sz w:val="32"/>
          <w:szCs w:val="32"/>
        </w:rPr>
        <w:t>4</w:t>
      </w:r>
      <w:r w:rsidRPr="00AF0151">
        <w:rPr>
          <w:rFonts w:ascii="仿宋" w:eastAsia="仿宋" w:hAnsi="仿宋" w:hint="eastAsia"/>
          <w:b/>
          <w:bCs/>
          <w:sz w:val="32"/>
          <w:szCs w:val="32"/>
        </w:rPr>
        <w:t>）</w:t>
      </w:r>
      <w:proofErr w:type="gramStart"/>
      <w:r w:rsidRPr="00AF0151">
        <w:rPr>
          <w:rFonts w:ascii="仿宋" w:eastAsia="仿宋" w:hAnsi="仿宋" w:hint="eastAsia"/>
          <w:b/>
          <w:bCs/>
          <w:sz w:val="32"/>
          <w:szCs w:val="32"/>
        </w:rPr>
        <w:t>鲑鳟</w:t>
      </w:r>
      <w:proofErr w:type="gramEnd"/>
      <w:r w:rsidRPr="00AF0151">
        <w:rPr>
          <w:rFonts w:ascii="仿宋" w:eastAsia="仿宋" w:hAnsi="仿宋" w:hint="eastAsia"/>
          <w:b/>
          <w:bCs/>
          <w:sz w:val="32"/>
          <w:szCs w:val="32"/>
        </w:rPr>
        <w:t>甲病毒病（</w:t>
      </w:r>
      <w:r w:rsidRPr="00AF0151">
        <w:rPr>
          <w:rFonts w:ascii="仿宋" w:eastAsia="仿宋" w:hAnsi="仿宋"/>
          <w:b/>
          <w:bCs/>
          <w:sz w:val="32"/>
          <w:szCs w:val="32"/>
        </w:rPr>
        <w:t>SA</w:t>
      </w:r>
      <w:r w:rsidRPr="00AF0151">
        <w:rPr>
          <w:rFonts w:ascii="仿宋" w:eastAsia="仿宋" w:hAnsi="仿宋" w:hint="eastAsia"/>
          <w:b/>
          <w:bCs/>
          <w:sz w:val="32"/>
          <w:szCs w:val="32"/>
        </w:rPr>
        <w:t xml:space="preserve">） </w:t>
      </w:r>
    </w:p>
    <w:p w14:paraId="766F3DB2" w14:textId="77777777" w:rsidR="00EF7444" w:rsidRPr="00AF0151" w:rsidRDefault="00EF7444" w:rsidP="00DB2B12">
      <w:pPr>
        <w:pStyle w:val="a1"/>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sz w:val="32"/>
          <w:szCs w:val="32"/>
        </w:rPr>
        <w:t>SA</w:t>
      </w:r>
      <w:r w:rsidRPr="00AF0151">
        <w:rPr>
          <w:rFonts w:ascii="仿宋" w:eastAsia="仿宋" w:hAnsi="仿宋" w:hint="eastAsia"/>
          <w:sz w:val="32"/>
          <w:szCs w:val="32"/>
        </w:rPr>
        <w:t>是由</w:t>
      </w:r>
      <w:proofErr w:type="gramStart"/>
      <w:r w:rsidRPr="00AF0151">
        <w:rPr>
          <w:rFonts w:ascii="仿宋" w:eastAsia="仿宋" w:hAnsi="仿宋" w:hint="eastAsia"/>
          <w:sz w:val="32"/>
          <w:szCs w:val="32"/>
        </w:rPr>
        <w:t>鲑鳟</w:t>
      </w:r>
      <w:proofErr w:type="gramEnd"/>
      <w:r w:rsidRPr="00AF0151">
        <w:rPr>
          <w:rFonts w:ascii="仿宋" w:eastAsia="仿宋" w:hAnsi="仿宋" w:hint="eastAsia"/>
          <w:sz w:val="32"/>
          <w:szCs w:val="32"/>
        </w:rPr>
        <w:t>甲病毒（</w:t>
      </w:r>
      <w:r w:rsidRPr="00AF0151">
        <w:rPr>
          <w:rFonts w:ascii="仿宋" w:eastAsia="仿宋" w:hAnsi="仿宋"/>
          <w:sz w:val="32"/>
          <w:szCs w:val="32"/>
        </w:rPr>
        <w:t>infection with salmonid alphavirus</w:t>
      </w:r>
      <w:r w:rsidRPr="00AF0151">
        <w:rPr>
          <w:rFonts w:ascii="仿宋" w:eastAsia="仿宋" w:hAnsi="仿宋" w:hint="eastAsia"/>
          <w:sz w:val="32"/>
          <w:szCs w:val="32"/>
        </w:rPr>
        <w:t>，</w:t>
      </w:r>
      <w:r w:rsidRPr="00AF0151">
        <w:rPr>
          <w:rFonts w:ascii="仿宋" w:eastAsia="仿宋" w:hAnsi="仿宋"/>
          <w:sz w:val="32"/>
          <w:szCs w:val="32"/>
        </w:rPr>
        <w:t>SAV</w:t>
      </w:r>
      <w:r w:rsidRPr="00AF0151">
        <w:rPr>
          <w:rFonts w:ascii="仿宋" w:eastAsia="仿宋" w:hAnsi="仿宋" w:hint="eastAsia"/>
          <w:sz w:val="32"/>
          <w:szCs w:val="32"/>
        </w:rPr>
        <w:t>）引起的大西洋</w:t>
      </w:r>
      <w:proofErr w:type="gramStart"/>
      <w:r w:rsidRPr="00AF0151">
        <w:rPr>
          <w:rFonts w:ascii="仿宋" w:eastAsia="仿宋" w:hAnsi="仿宋" w:hint="eastAsia"/>
          <w:sz w:val="32"/>
          <w:szCs w:val="32"/>
        </w:rPr>
        <w:t>鲑胰脏病</w:t>
      </w:r>
      <w:proofErr w:type="gramEnd"/>
      <w:r w:rsidRPr="00AF0151">
        <w:rPr>
          <w:rFonts w:ascii="仿宋" w:eastAsia="仿宋" w:hAnsi="仿宋" w:hint="eastAsia"/>
          <w:sz w:val="32"/>
          <w:szCs w:val="32"/>
        </w:rPr>
        <w:t>与虹鳟睡眠病，是伴随早期病毒血症的严重全身性疾病。该病在欧洲海水与淡水养殖水域广泛流行，尤其是挪威、英国等地，网箱感染率常高达</w:t>
      </w:r>
      <w:r w:rsidRPr="00AF0151">
        <w:rPr>
          <w:rFonts w:ascii="仿宋" w:eastAsia="仿宋" w:hAnsi="仿宋"/>
          <w:sz w:val="32"/>
          <w:szCs w:val="32"/>
        </w:rPr>
        <w:t>70%</w:t>
      </w:r>
      <w:r w:rsidRPr="00AF0151">
        <w:rPr>
          <w:rFonts w:ascii="仿宋" w:eastAsia="仿宋" w:hAnsi="仿宋" w:hint="eastAsia"/>
          <w:sz w:val="32"/>
          <w:szCs w:val="32"/>
        </w:rPr>
        <w:t>～</w:t>
      </w:r>
      <w:r w:rsidRPr="00AF0151">
        <w:rPr>
          <w:rFonts w:ascii="仿宋" w:eastAsia="仿宋" w:hAnsi="仿宋"/>
          <w:sz w:val="32"/>
          <w:szCs w:val="32"/>
        </w:rPr>
        <w:t>100%</w:t>
      </w:r>
      <w:r w:rsidRPr="00AF0151">
        <w:rPr>
          <w:rFonts w:ascii="仿宋" w:eastAsia="仿宋" w:hAnsi="仿宋" w:hint="eastAsia"/>
          <w:sz w:val="32"/>
          <w:szCs w:val="32"/>
        </w:rPr>
        <w:t>。</w:t>
      </w:r>
      <w:r w:rsidRPr="00AF0151">
        <w:rPr>
          <w:rFonts w:ascii="仿宋" w:eastAsia="仿宋" w:hAnsi="仿宋"/>
          <w:sz w:val="32"/>
          <w:szCs w:val="32"/>
        </w:rPr>
        <w:t>SAV</w:t>
      </w:r>
      <w:r w:rsidRPr="00AF0151">
        <w:rPr>
          <w:rFonts w:ascii="仿宋" w:eastAsia="仿宋" w:hAnsi="仿宋" w:hint="eastAsia"/>
          <w:sz w:val="32"/>
          <w:szCs w:val="32"/>
        </w:rPr>
        <w:t>分为</w:t>
      </w:r>
      <w:r w:rsidRPr="00AF0151">
        <w:rPr>
          <w:rFonts w:ascii="仿宋" w:eastAsia="仿宋" w:hAnsi="仿宋"/>
          <w:sz w:val="32"/>
          <w:szCs w:val="32"/>
        </w:rPr>
        <w:t>6</w:t>
      </w:r>
      <w:r w:rsidRPr="00AF0151">
        <w:rPr>
          <w:rFonts w:ascii="仿宋" w:eastAsia="仿宋" w:hAnsi="仿宋" w:hint="eastAsia"/>
          <w:sz w:val="32"/>
          <w:szCs w:val="32"/>
        </w:rPr>
        <w:t>个基因型，其中</w:t>
      </w:r>
      <w:r w:rsidRPr="00AF0151">
        <w:rPr>
          <w:rFonts w:ascii="仿宋" w:eastAsia="仿宋" w:hAnsi="仿宋"/>
          <w:sz w:val="32"/>
          <w:szCs w:val="32"/>
        </w:rPr>
        <w:t>SAV1</w:t>
      </w:r>
      <w:r w:rsidRPr="00AF0151">
        <w:rPr>
          <w:rFonts w:ascii="仿宋" w:eastAsia="仿宋" w:hAnsi="仿宋" w:hint="eastAsia"/>
          <w:sz w:val="32"/>
          <w:szCs w:val="32"/>
        </w:rPr>
        <w:t>与</w:t>
      </w:r>
      <w:r w:rsidRPr="00AF0151">
        <w:rPr>
          <w:rFonts w:ascii="仿宋" w:eastAsia="仿宋" w:hAnsi="仿宋"/>
          <w:sz w:val="32"/>
          <w:szCs w:val="32"/>
        </w:rPr>
        <w:t>SAV2</w:t>
      </w:r>
      <w:r w:rsidRPr="00AF0151">
        <w:rPr>
          <w:rFonts w:ascii="仿宋" w:eastAsia="仿宋" w:hAnsi="仿宋" w:hint="eastAsia"/>
          <w:sz w:val="32"/>
          <w:szCs w:val="32"/>
        </w:rPr>
        <w:t>主要感染淡水和海水中的虹鳟及鲑鱼，而</w:t>
      </w:r>
      <w:r w:rsidRPr="00AF0151">
        <w:rPr>
          <w:rFonts w:ascii="仿宋" w:eastAsia="仿宋" w:hAnsi="仿宋"/>
          <w:sz w:val="32"/>
          <w:szCs w:val="32"/>
        </w:rPr>
        <w:t>SAV3</w:t>
      </w:r>
      <w:r w:rsidRPr="00AF0151">
        <w:rPr>
          <w:rFonts w:ascii="仿宋" w:eastAsia="仿宋" w:hAnsi="仿宋" w:hint="eastAsia"/>
          <w:sz w:val="32"/>
          <w:szCs w:val="32"/>
        </w:rPr>
        <w:t>至</w:t>
      </w:r>
      <w:r w:rsidRPr="00AF0151">
        <w:rPr>
          <w:rFonts w:ascii="仿宋" w:eastAsia="仿宋" w:hAnsi="仿宋"/>
          <w:sz w:val="32"/>
          <w:szCs w:val="32"/>
        </w:rPr>
        <w:t>SAV6</w:t>
      </w:r>
      <w:r w:rsidRPr="00AF0151">
        <w:rPr>
          <w:rFonts w:ascii="仿宋" w:eastAsia="仿宋" w:hAnsi="仿宋" w:hint="eastAsia"/>
          <w:sz w:val="32"/>
          <w:szCs w:val="32"/>
        </w:rPr>
        <w:t>多局限于海水环境。病毒无需任何节肢动物充当媒介，主要通过受污染的水体、鱼类排泄物及体表黏液进行水平传播，极易引发大规模交叉感染。</w:t>
      </w:r>
    </w:p>
    <w:p w14:paraId="249ED87E" w14:textId="77777777" w:rsidR="00186307" w:rsidRPr="00AF0151" w:rsidRDefault="00EF7444" w:rsidP="00DB2B12">
      <w:pPr>
        <w:pStyle w:val="aff"/>
        <w:adjustRightInd w:val="0"/>
        <w:snapToGrid w:val="0"/>
        <w:spacing w:before="100" w:beforeAutospacing="1" w:after="100" w:afterAutospacing="1"/>
        <w:ind w:firstLine="643"/>
        <w:rPr>
          <w:rFonts w:ascii="仿宋" w:eastAsia="仿宋" w:hAnsi="仿宋" w:cs="宋体"/>
          <w:noProof w:val="0"/>
          <w:sz w:val="32"/>
          <w:szCs w:val="32"/>
        </w:rPr>
      </w:pPr>
      <w:r w:rsidRPr="00AF0151">
        <w:rPr>
          <w:rFonts w:ascii="仿宋" w:eastAsia="仿宋" w:hAnsi="仿宋" w:cs="宋体" w:hint="eastAsia"/>
          <w:b/>
          <w:noProof w:val="0"/>
          <w:sz w:val="32"/>
          <w:szCs w:val="32"/>
        </w:rPr>
        <w:t>（</w:t>
      </w:r>
      <w:r w:rsidRPr="00AF0151">
        <w:rPr>
          <w:rFonts w:ascii="仿宋" w:eastAsia="仿宋" w:hAnsi="仿宋" w:cs="宋体"/>
          <w:b/>
          <w:noProof w:val="0"/>
          <w:sz w:val="32"/>
          <w:szCs w:val="32"/>
        </w:rPr>
        <w:t>5</w:t>
      </w:r>
      <w:r w:rsidRPr="00AF0151">
        <w:rPr>
          <w:rFonts w:ascii="仿宋" w:eastAsia="仿宋" w:hAnsi="仿宋" w:cs="宋体" w:hint="eastAsia"/>
          <w:b/>
          <w:noProof w:val="0"/>
          <w:sz w:val="32"/>
          <w:szCs w:val="32"/>
        </w:rPr>
        <w:t>）传染性鲑鱼贫血症（</w:t>
      </w:r>
      <w:r w:rsidRPr="00AF0151">
        <w:rPr>
          <w:rFonts w:ascii="仿宋" w:eastAsia="仿宋" w:hAnsi="仿宋" w:cs="宋体"/>
          <w:b/>
          <w:noProof w:val="0"/>
          <w:sz w:val="32"/>
          <w:szCs w:val="32"/>
        </w:rPr>
        <w:t>ISA</w:t>
      </w:r>
      <w:r w:rsidRPr="00AF0151">
        <w:rPr>
          <w:rFonts w:ascii="仿宋" w:eastAsia="仿宋" w:hAnsi="仿宋" w:cs="宋体" w:hint="eastAsia"/>
          <w:b/>
          <w:noProof w:val="0"/>
          <w:sz w:val="32"/>
          <w:szCs w:val="32"/>
        </w:rPr>
        <w:t>）</w:t>
      </w:r>
      <w:r w:rsidRPr="00AF0151">
        <w:rPr>
          <w:rFonts w:ascii="仿宋" w:eastAsia="仿宋" w:hAnsi="仿宋" w:cs="宋体"/>
          <w:noProof w:val="0"/>
          <w:sz w:val="32"/>
          <w:szCs w:val="32"/>
        </w:rPr>
        <w:t xml:space="preserve"> </w:t>
      </w:r>
    </w:p>
    <w:p w14:paraId="7CE412F1" w14:textId="77777777" w:rsidR="00EF7444" w:rsidRPr="00AF0151" w:rsidRDefault="00EF7444" w:rsidP="00DB2B12">
      <w:pPr>
        <w:pStyle w:val="aff"/>
        <w:adjustRightInd w:val="0"/>
        <w:snapToGrid w:val="0"/>
        <w:spacing w:before="100" w:beforeAutospacing="1" w:after="100" w:afterAutospacing="1"/>
        <w:ind w:firstLine="640"/>
        <w:rPr>
          <w:rFonts w:ascii="仿宋" w:eastAsia="仿宋" w:hAnsi="仿宋" w:cs="宋体"/>
          <w:noProof w:val="0"/>
          <w:sz w:val="32"/>
          <w:szCs w:val="32"/>
        </w:rPr>
      </w:pPr>
      <w:r w:rsidRPr="00AF0151">
        <w:rPr>
          <w:rFonts w:ascii="仿宋" w:eastAsia="仿宋" w:hAnsi="仿宋" w:cs="宋体"/>
          <w:noProof w:val="0"/>
          <w:sz w:val="32"/>
          <w:szCs w:val="32"/>
        </w:rPr>
        <w:t>ISA</w:t>
      </w:r>
      <w:r w:rsidRPr="00AF0151">
        <w:rPr>
          <w:rFonts w:ascii="仿宋" w:eastAsia="仿宋" w:hAnsi="仿宋" w:cs="宋体" w:hint="eastAsia"/>
          <w:noProof w:val="0"/>
          <w:sz w:val="32"/>
          <w:szCs w:val="32"/>
        </w:rPr>
        <w:t>是由传染性鲑鱼贫血症病毒（</w:t>
      </w:r>
      <w:r w:rsidRPr="00AF0151">
        <w:rPr>
          <w:rFonts w:ascii="仿宋" w:eastAsia="仿宋" w:hAnsi="仿宋" w:cs="宋体"/>
          <w:noProof w:val="0"/>
          <w:sz w:val="32"/>
          <w:szCs w:val="32"/>
        </w:rPr>
        <w:t>ISAV</w:t>
      </w:r>
      <w:r w:rsidRPr="00AF0151">
        <w:rPr>
          <w:rFonts w:ascii="仿宋" w:eastAsia="仿宋" w:hAnsi="仿宋" w:cs="宋体" w:hint="eastAsia"/>
          <w:noProof w:val="0"/>
          <w:sz w:val="32"/>
          <w:szCs w:val="32"/>
        </w:rPr>
        <w:t>）感染大西洋</w:t>
      </w:r>
      <w:proofErr w:type="gramStart"/>
      <w:r w:rsidRPr="00AF0151">
        <w:rPr>
          <w:rFonts w:ascii="仿宋" w:eastAsia="仿宋" w:hAnsi="仿宋" w:cs="宋体" w:hint="eastAsia"/>
          <w:noProof w:val="0"/>
          <w:sz w:val="32"/>
          <w:szCs w:val="32"/>
        </w:rPr>
        <w:t>鲑</w:t>
      </w:r>
      <w:proofErr w:type="gramEnd"/>
      <w:r w:rsidRPr="00AF0151">
        <w:rPr>
          <w:rFonts w:ascii="仿宋" w:eastAsia="仿宋" w:hAnsi="仿宋" w:cs="宋体" w:hint="eastAsia"/>
          <w:noProof w:val="0"/>
          <w:sz w:val="32"/>
          <w:szCs w:val="32"/>
        </w:rPr>
        <w:t>为主的高度致死性、系统性疾病。该病重点威胁全球海水网箱中的大西洋</w:t>
      </w:r>
      <w:proofErr w:type="gramStart"/>
      <w:r w:rsidRPr="00AF0151">
        <w:rPr>
          <w:rFonts w:ascii="仿宋" w:eastAsia="仿宋" w:hAnsi="仿宋" w:cs="宋体" w:hint="eastAsia"/>
          <w:noProof w:val="0"/>
          <w:sz w:val="32"/>
          <w:szCs w:val="32"/>
        </w:rPr>
        <w:t>鲑</w:t>
      </w:r>
      <w:proofErr w:type="gramEnd"/>
      <w:r w:rsidRPr="00AF0151">
        <w:rPr>
          <w:rFonts w:ascii="仿宋" w:eastAsia="仿宋" w:hAnsi="仿宋" w:cs="宋体" w:hint="eastAsia"/>
          <w:noProof w:val="0"/>
          <w:sz w:val="32"/>
          <w:szCs w:val="32"/>
        </w:rPr>
        <w:t>，初期日死亡率虽极低（</w:t>
      </w:r>
      <w:r w:rsidRPr="00AF0151">
        <w:rPr>
          <w:rFonts w:ascii="仿宋" w:eastAsia="仿宋" w:hAnsi="仿宋" w:cs="宋体"/>
          <w:noProof w:val="0"/>
          <w:sz w:val="32"/>
          <w:szCs w:val="32"/>
        </w:rPr>
        <w:t>0.05%</w:t>
      </w:r>
      <w:r w:rsidRPr="00AF0151">
        <w:rPr>
          <w:rFonts w:ascii="仿宋" w:eastAsia="仿宋" w:hAnsi="仿宋" w:cs="宋体" w:hint="eastAsia"/>
          <w:noProof w:val="0"/>
          <w:sz w:val="32"/>
          <w:szCs w:val="32"/>
        </w:rPr>
        <w:t>～</w:t>
      </w:r>
      <w:r w:rsidRPr="00AF0151">
        <w:rPr>
          <w:rFonts w:ascii="仿宋" w:eastAsia="仿宋" w:hAnsi="仿宋" w:cs="宋体"/>
          <w:noProof w:val="0"/>
          <w:sz w:val="32"/>
          <w:szCs w:val="32"/>
        </w:rPr>
        <w:t>0.1%</w:t>
      </w:r>
      <w:r w:rsidRPr="00AF0151">
        <w:rPr>
          <w:rFonts w:ascii="仿宋" w:eastAsia="仿宋" w:hAnsi="仿宋" w:cs="宋体" w:hint="eastAsia"/>
          <w:noProof w:val="0"/>
          <w:sz w:val="32"/>
          <w:szCs w:val="32"/>
        </w:rPr>
        <w:t>），但随着病程绵长，累积死亡率可超</w:t>
      </w:r>
      <w:r w:rsidRPr="00AF0151">
        <w:rPr>
          <w:rFonts w:ascii="仿宋" w:eastAsia="仿宋" w:hAnsi="仿宋" w:cs="宋体"/>
          <w:noProof w:val="0"/>
          <w:sz w:val="32"/>
          <w:szCs w:val="32"/>
        </w:rPr>
        <w:t>90%</w:t>
      </w:r>
      <w:r w:rsidRPr="00AF0151">
        <w:rPr>
          <w:rFonts w:ascii="仿宋" w:eastAsia="仿宋" w:hAnsi="仿宋" w:cs="宋体" w:hint="eastAsia"/>
          <w:noProof w:val="0"/>
          <w:sz w:val="32"/>
          <w:szCs w:val="32"/>
        </w:rPr>
        <w:t>。流行病学证据表明，非致病</w:t>
      </w:r>
      <w:r w:rsidRPr="00AF0151">
        <w:rPr>
          <w:rFonts w:ascii="仿宋" w:eastAsia="仿宋" w:hAnsi="仿宋" w:cs="宋体" w:hint="eastAsia"/>
          <w:noProof w:val="0"/>
          <w:sz w:val="32"/>
          <w:szCs w:val="32"/>
        </w:rPr>
        <w:lastRenderedPageBreak/>
        <w:t>性</w:t>
      </w:r>
      <w:r w:rsidRPr="00AF0151">
        <w:rPr>
          <w:rFonts w:ascii="仿宋" w:eastAsia="仿宋" w:hAnsi="仿宋" w:cs="宋体"/>
          <w:noProof w:val="0"/>
          <w:sz w:val="32"/>
          <w:szCs w:val="32"/>
        </w:rPr>
        <w:t>HPR0</w:t>
      </w:r>
      <w:r w:rsidRPr="00AF0151">
        <w:rPr>
          <w:rFonts w:ascii="仿宋" w:eastAsia="仿宋" w:hAnsi="仿宋" w:cs="宋体" w:hint="eastAsia"/>
          <w:noProof w:val="0"/>
          <w:sz w:val="32"/>
          <w:szCs w:val="32"/>
        </w:rPr>
        <w:t>型在鳃部瞬时复制，可突变演化为攻击内皮细胞的高致病性</w:t>
      </w:r>
      <w:r w:rsidRPr="00AF0151">
        <w:rPr>
          <w:rFonts w:ascii="仿宋" w:eastAsia="仿宋" w:hAnsi="仿宋" w:cs="宋体"/>
          <w:noProof w:val="0"/>
          <w:sz w:val="32"/>
          <w:szCs w:val="32"/>
        </w:rPr>
        <w:t>HPR</w:t>
      </w:r>
      <w:r w:rsidRPr="00AF0151">
        <w:rPr>
          <w:rFonts w:ascii="仿宋" w:eastAsia="仿宋" w:hAnsi="仿宋" w:cs="宋体" w:hint="eastAsia"/>
          <w:noProof w:val="0"/>
          <w:sz w:val="32"/>
          <w:szCs w:val="32"/>
        </w:rPr>
        <w:t>缺失型。病毒主要通过水体、共享养殖设备进行水平传播，</w:t>
      </w:r>
      <w:proofErr w:type="gramStart"/>
      <w:r w:rsidRPr="00AF0151">
        <w:rPr>
          <w:rFonts w:ascii="仿宋" w:eastAsia="仿宋" w:hAnsi="仿宋" w:cs="宋体" w:hint="eastAsia"/>
          <w:noProof w:val="0"/>
          <w:sz w:val="32"/>
          <w:szCs w:val="32"/>
        </w:rPr>
        <w:t>鲑</w:t>
      </w:r>
      <w:proofErr w:type="gramEnd"/>
      <w:r w:rsidRPr="00AF0151">
        <w:rPr>
          <w:rFonts w:ascii="仿宋" w:eastAsia="仿宋" w:hAnsi="仿宋" w:cs="宋体" w:hint="eastAsia"/>
          <w:noProof w:val="0"/>
          <w:sz w:val="32"/>
          <w:szCs w:val="32"/>
        </w:rPr>
        <w:t>疮痂鱼</w:t>
      </w:r>
      <w:proofErr w:type="gramStart"/>
      <w:r w:rsidRPr="00AF0151">
        <w:rPr>
          <w:rFonts w:ascii="仿宋" w:eastAsia="仿宋" w:hAnsi="仿宋" w:cs="宋体" w:hint="eastAsia"/>
          <w:noProof w:val="0"/>
          <w:sz w:val="32"/>
          <w:szCs w:val="32"/>
        </w:rPr>
        <w:t>虱</w:t>
      </w:r>
      <w:proofErr w:type="gramEnd"/>
      <w:r w:rsidRPr="00AF0151">
        <w:rPr>
          <w:rFonts w:ascii="仿宋" w:eastAsia="仿宋" w:hAnsi="仿宋" w:cs="宋体" w:hint="eastAsia"/>
          <w:noProof w:val="0"/>
          <w:sz w:val="32"/>
          <w:szCs w:val="32"/>
        </w:rPr>
        <w:t>（海</w:t>
      </w:r>
      <w:proofErr w:type="gramStart"/>
      <w:r w:rsidRPr="00AF0151">
        <w:rPr>
          <w:rFonts w:ascii="仿宋" w:eastAsia="仿宋" w:hAnsi="仿宋" w:cs="宋体" w:hint="eastAsia"/>
          <w:noProof w:val="0"/>
          <w:sz w:val="32"/>
          <w:szCs w:val="32"/>
        </w:rPr>
        <w:t>虱</w:t>
      </w:r>
      <w:proofErr w:type="gramEnd"/>
      <w:r w:rsidRPr="00AF0151">
        <w:rPr>
          <w:rFonts w:ascii="仿宋" w:eastAsia="仿宋" w:hAnsi="仿宋" w:cs="宋体" w:hint="eastAsia"/>
          <w:noProof w:val="0"/>
          <w:sz w:val="32"/>
          <w:szCs w:val="32"/>
        </w:rPr>
        <w:t>）亦可充当机械性传播载体，活鱼运输常引发跨区域远距离扩散。</w:t>
      </w:r>
    </w:p>
    <w:p w14:paraId="54B79818" w14:textId="77777777" w:rsidR="00186307" w:rsidRPr="00AF0151" w:rsidRDefault="00EF7444" w:rsidP="00DB2B12">
      <w:pPr>
        <w:pStyle w:val="aff"/>
        <w:adjustRightInd w:val="0"/>
        <w:snapToGrid w:val="0"/>
        <w:spacing w:before="100" w:beforeAutospacing="1" w:after="100" w:afterAutospacing="1"/>
        <w:ind w:firstLine="643"/>
        <w:rPr>
          <w:rFonts w:ascii="仿宋" w:eastAsia="仿宋" w:hAnsi="仿宋" w:cs="宋体"/>
          <w:b/>
          <w:noProof w:val="0"/>
          <w:sz w:val="32"/>
          <w:szCs w:val="32"/>
        </w:rPr>
      </w:pPr>
      <w:r w:rsidRPr="00AF0151">
        <w:rPr>
          <w:rFonts w:ascii="仿宋" w:eastAsia="仿宋" w:hAnsi="仿宋" w:cs="宋体" w:hint="eastAsia"/>
          <w:b/>
          <w:noProof w:val="0"/>
          <w:sz w:val="32"/>
          <w:szCs w:val="32"/>
        </w:rPr>
        <w:t>（</w:t>
      </w:r>
      <w:r w:rsidRPr="00AF0151">
        <w:rPr>
          <w:rFonts w:ascii="仿宋" w:eastAsia="仿宋" w:hAnsi="仿宋" w:cs="宋体"/>
          <w:b/>
          <w:noProof w:val="0"/>
          <w:sz w:val="32"/>
          <w:szCs w:val="32"/>
        </w:rPr>
        <w:t>6</w:t>
      </w:r>
      <w:r w:rsidRPr="00AF0151">
        <w:rPr>
          <w:rFonts w:ascii="仿宋" w:eastAsia="仿宋" w:hAnsi="仿宋" w:cs="宋体" w:hint="eastAsia"/>
          <w:b/>
          <w:noProof w:val="0"/>
          <w:sz w:val="32"/>
          <w:szCs w:val="32"/>
        </w:rPr>
        <w:t>）流行性造血器官坏死（</w:t>
      </w:r>
      <w:r w:rsidRPr="00AF0151">
        <w:rPr>
          <w:rFonts w:ascii="仿宋" w:eastAsia="仿宋" w:hAnsi="仿宋" w:cs="宋体"/>
          <w:b/>
          <w:noProof w:val="0"/>
          <w:sz w:val="32"/>
          <w:szCs w:val="32"/>
        </w:rPr>
        <w:t>EHN</w:t>
      </w:r>
      <w:r w:rsidRPr="00AF0151">
        <w:rPr>
          <w:rFonts w:ascii="仿宋" w:eastAsia="仿宋" w:hAnsi="仿宋" w:cs="宋体" w:hint="eastAsia"/>
          <w:b/>
          <w:noProof w:val="0"/>
          <w:sz w:val="32"/>
          <w:szCs w:val="32"/>
        </w:rPr>
        <w:t>）</w:t>
      </w:r>
    </w:p>
    <w:p w14:paraId="2252A3F7" w14:textId="77777777" w:rsidR="00EF7444" w:rsidRPr="00AF0151" w:rsidRDefault="00EF7444" w:rsidP="00DB2B12">
      <w:pPr>
        <w:pStyle w:val="aff"/>
        <w:adjustRightInd w:val="0"/>
        <w:snapToGrid w:val="0"/>
        <w:spacing w:before="100" w:beforeAutospacing="1" w:after="100" w:afterAutospacing="1"/>
        <w:ind w:firstLine="640"/>
        <w:rPr>
          <w:rFonts w:ascii="仿宋" w:eastAsia="仿宋" w:hAnsi="仿宋" w:cs="宋体"/>
          <w:noProof w:val="0"/>
          <w:sz w:val="32"/>
          <w:szCs w:val="32"/>
        </w:rPr>
      </w:pPr>
      <w:r w:rsidRPr="00AF0151">
        <w:rPr>
          <w:rFonts w:ascii="仿宋" w:eastAsia="仿宋" w:hAnsi="仿宋" w:cs="宋体"/>
          <w:noProof w:val="0"/>
          <w:sz w:val="32"/>
          <w:szCs w:val="32"/>
        </w:rPr>
        <w:t>EHN</w:t>
      </w:r>
      <w:r w:rsidRPr="00AF0151">
        <w:rPr>
          <w:rFonts w:ascii="仿宋" w:eastAsia="仿宋" w:hAnsi="仿宋" w:cs="宋体" w:hint="eastAsia"/>
          <w:noProof w:val="0"/>
          <w:sz w:val="32"/>
          <w:szCs w:val="32"/>
        </w:rPr>
        <w:t>是由流行性造血器官坏死病毒（</w:t>
      </w:r>
      <w:r w:rsidRPr="00AF0151">
        <w:rPr>
          <w:rFonts w:ascii="仿宋" w:eastAsia="仿宋" w:hAnsi="仿宋" w:cs="宋体"/>
          <w:noProof w:val="0"/>
          <w:sz w:val="32"/>
          <w:szCs w:val="32"/>
        </w:rPr>
        <w:t>EHNV</w:t>
      </w:r>
      <w:r w:rsidRPr="00AF0151">
        <w:rPr>
          <w:rFonts w:ascii="仿宋" w:eastAsia="仿宋" w:hAnsi="仿宋" w:cs="宋体" w:hint="eastAsia"/>
          <w:noProof w:val="0"/>
          <w:sz w:val="32"/>
          <w:szCs w:val="32"/>
        </w:rPr>
        <w:t>）感染虹鳟与</w:t>
      </w:r>
      <w:proofErr w:type="gramStart"/>
      <w:r w:rsidRPr="00AF0151">
        <w:rPr>
          <w:rFonts w:ascii="仿宋" w:eastAsia="仿宋" w:hAnsi="仿宋" w:cs="宋体" w:hint="eastAsia"/>
          <w:noProof w:val="0"/>
          <w:sz w:val="32"/>
          <w:szCs w:val="32"/>
        </w:rPr>
        <w:t>赤鲈引起</w:t>
      </w:r>
      <w:proofErr w:type="gramEnd"/>
      <w:r w:rsidRPr="00AF0151">
        <w:rPr>
          <w:rFonts w:ascii="仿宋" w:eastAsia="仿宋" w:hAnsi="仿宋" w:cs="宋体" w:hint="eastAsia"/>
          <w:noProof w:val="0"/>
          <w:sz w:val="32"/>
          <w:szCs w:val="32"/>
        </w:rPr>
        <w:t>的系统性致死病。该病为</w:t>
      </w:r>
      <w:r w:rsidRPr="00AF0151">
        <w:rPr>
          <w:rFonts w:ascii="仿宋" w:eastAsia="仿宋" w:hAnsi="仿宋" w:cs="宋体"/>
          <w:noProof w:val="0"/>
          <w:sz w:val="32"/>
          <w:szCs w:val="32"/>
        </w:rPr>
        <w:t>WOAH</w:t>
      </w:r>
      <w:r w:rsidRPr="00AF0151">
        <w:rPr>
          <w:rFonts w:ascii="仿宋" w:eastAsia="仿宋" w:hAnsi="仿宋" w:cs="宋体" w:hint="eastAsia"/>
          <w:noProof w:val="0"/>
          <w:sz w:val="32"/>
          <w:szCs w:val="32"/>
        </w:rPr>
        <w:t>列报的重大疫病，主要在澳大利亚东南部淡水流域呈地方性流行。虹鳟养殖场中常表现为慢性感染，日死亡率低于</w:t>
      </w:r>
      <w:r w:rsidRPr="00AF0151">
        <w:rPr>
          <w:rFonts w:ascii="仿宋" w:eastAsia="仿宋" w:hAnsi="仿宋" w:cs="宋体"/>
          <w:noProof w:val="0"/>
          <w:sz w:val="32"/>
          <w:szCs w:val="32"/>
        </w:rPr>
        <w:t>0.2%</w:t>
      </w:r>
      <w:r w:rsidRPr="00AF0151">
        <w:rPr>
          <w:rFonts w:ascii="仿宋" w:eastAsia="仿宋" w:hAnsi="仿宋" w:cs="宋体" w:hint="eastAsia"/>
          <w:noProof w:val="0"/>
          <w:sz w:val="32"/>
          <w:szCs w:val="32"/>
        </w:rPr>
        <w:t>，发病水温多在</w:t>
      </w:r>
      <w:r w:rsidRPr="00AF0151">
        <w:rPr>
          <w:rFonts w:ascii="仿宋" w:eastAsia="仿宋" w:hAnsi="仿宋" w:cs="宋体"/>
          <w:noProof w:val="0"/>
          <w:sz w:val="32"/>
          <w:szCs w:val="32"/>
        </w:rPr>
        <w:t xml:space="preserve">11 </w:t>
      </w:r>
      <w:r w:rsidRPr="00AF0151">
        <w:rPr>
          <w:rFonts w:ascii="仿宋" w:eastAsia="仿宋" w:hAnsi="仿宋" w:cs="宋体" w:hint="eastAsia"/>
          <w:noProof w:val="0"/>
          <w:sz w:val="32"/>
          <w:szCs w:val="32"/>
        </w:rPr>
        <w:t>℃～</w:t>
      </w:r>
      <w:r w:rsidRPr="00AF0151">
        <w:rPr>
          <w:rFonts w:ascii="仿宋" w:eastAsia="仿宋" w:hAnsi="仿宋" w:cs="宋体"/>
          <w:noProof w:val="0"/>
          <w:sz w:val="32"/>
          <w:szCs w:val="32"/>
        </w:rPr>
        <w:t xml:space="preserve">20 </w:t>
      </w:r>
      <w:r w:rsidRPr="00AF0151">
        <w:rPr>
          <w:rFonts w:ascii="仿宋" w:eastAsia="仿宋" w:hAnsi="仿宋" w:cs="宋体" w:hint="eastAsia"/>
          <w:noProof w:val="0"/>
          <w:sz w:val="32"/>
          <w:szCs w:val="32"/>
        </w:rPr>
        <w:t>℃之间，水质恶化及高密度应激易诱发暴发。病毒主要通过被污染的水体、带毒幼鱼进行网箱间的水平传播；而在野生环境中，食鱼鸟类消化道、渔具及船只可作为重要机械媒介，造成跨水系的跳跃式扩散。</w:t>
      </w:r>
    </w:p>
    <w:p w14:paraId="57690D00" w14:textId="77777777" w:rsidR="00186307" w:rsidRPr="00AF0151" w:rsidRDefault="00EF7444" w:rsidP="00DB2B12">
      <w:pPr>
        <w:pStyle w:val="aff"/>
        <w:adjustRightInd w:val="0"/>
        <w:snapToGrid w:val="0"/>
        <w:spacing w:before="100" w:beforeAutospacing="1" w:after="100" w:afterAutospacing="1"/>
        <w:ind w:firstLine="643"/>
        <w:rPr>
          <w:rFonts w:ascii="仿宋" w:eastAsia="仿宋" w:hAnsi="仿宋"/>
          <w:b/>
          <w:sz w:val="32"/>
          <w:szCs w:val="32"/>
        </w:rPr>
      </w:pPr>
      <w:r w:rsidRPr="00AF0151">
        <w:rPr>
          <w:rFonts w:ascii="仿宋" w:eastAsia="仿宋" w:hAnsi="仿宋" w:cs="宋体" w:hint="eastAsia"/>
          <w:b/>
          <w:noProof w:val="0"/>
          <w:sz w:val="32"/>
          <w:szCs w:val="32"/>
        </w:rPr>
        <w:t>（</w:t>
      </w:r>
      <w:r w:rsidRPr="00AF0151">
        <w:rPr>
          <w:rFonts w:ascii="仿宋" w:eastAsia="仿宋" w:hAnsi="仿宋" w:cs="宋体"/>
          <w:b/>
          <w:noProof w:val="0"/>
          <w:sz w:val="32"/>
          <w:szCs w:val="32"/>
        </w:rPr>
        <w:t>7</w:t>
      </w:r>
      <w:r w:rsidRPr="00AF0151">
        <w:rPr>
          <w:rFonts w:ascii="仿宋" w:eastAsia="仿宋" w:hAnsi="仿宋" w:cs="宋体" w:hint="eastAsia"/>
          <w:b/>
          <w:noProof w:val="0"/>
          <w:sz w:val="32"/>
          <w:szCs w:val="32"/>
        </w:rPr>
        <w:t>）</w:t>
      </w:r>
      <w:proofErr w:type="gramStart"/>
      <w:r w:rsidRPr="00AF0151">
        <w:rPr>
          <w:rFonts w:ascii="仿宋" w:eastAsia="仿宋" w:hAnsi="仿宋" w:cs="宋体" w:hint="eastAsia"/>
          <w:b/>
          <w:noProof w:val="0"/>
          <w:sz w:val="32"/>
          <w:szCs w:val="32"/>
        </w:rPr>
        <w:t>鲑</w:t>
      </w:r>
      <w:proofErr w:type="gramEnd"/>
      <w:r w:rsidRPr="00AF0151">
        <w:rPr>
          <w:rFonts w:ascii="仿宋" w:eastAsia="仿宋" w:hAnsi="仿宋" w:cs="宋体" w:hint="eastAsia"/>
          <w:b/>
          <w:noProof w:val="0"/>
          <w:sz w:val="32"/>
          <w:szCs w:val="32"/>
        </w:rPr>
        <w:t>鳟鱼</w:t>
      </w:r>
      <w:proofErr w:type="gramStart"/>
      <w:r w:rsidRPr="00AF0151">
        <w:rPr>
          <w:rFonts w:ascii="仿宋" w:eastAsia="仿宋" w:hAnsi="仿宋" w:cs="宋体" w:hint="eastAsia"/>
          <w:b/>
          <w:noProof w:val="0"/>
          <w:sz w:val="32"/>
          <w:szCs w:val="32"/>
        </w:rPr>
        <w:t>呼肠孤病毒</w:t>
      </w:r>
      <w:proofErr w:type="gramEnd"/>
      <w:r w:rsidRPr="00AF0151">
        <w:rPr>
          <w:rFonts w:ascii="仿宋" w:eastAsia="仿宋" w:hAnsi="仿宋" w:cs="宋体" w:hint="eastAsia"/>
          <w:b/>
          <w:noProof w:val="0"/>
          <w:sz w:val="32"/>
          <w:szCs w:val="32"/>
        </w:rPr>
        <w:t>病（</w:t>
      </w:r>
      <w:r w:rsidRPr="00AF0151">
        <w:rPr>
          <w:rFonts w:ascii="仿宋" w:eastAsia="仿宋" w:hAnsi="仿宋" w:cs="宋体"/>
          <w:b/>
          <w:noProof w:val="0"/>
          <w:sz w:val="32"/>
          <w:szCs w:val="32"/>
        </w:rPr>
        <w:t>PRV-associated diseases</w:t>
      </w:r>
      <w:r w:rsidRPr="00AF0151">
        <w:rPr>
          <w:rFonts w:ascii="仿宋" w:eastAsia="仿宋" w:hAnsi="仿宋" w:cs="宋体" w:hint="eastAsia"/>
          <w:b/>
          <w:noProof w:val="0"/>
          <w:sz w:val="32"/>
          <w:szCs w:val="32"/>
        </w:rPr>
        <w:t>）</w:t>
      </w:r>
    </w:p>
    <w:p w14:paraId="7424A3C5" w14:textId="77777777" w:rsidR="00DB2B12" w:rsidRPr="00AF0151" w:rsidRDefault="00EF7444" w:rsidP="00DB2B12">
      <w:pPr>
        <w:pStyle w:val="aff"/>
        <w:adjustRightInd w:val="0"/>
        <w:snapToGrid w:val="0"/>
        <w:spacing w:before="100" w:beforeAutospacing="1" w:after="100" w:afterAutospacing="1"/>
        <w:ind w:firstLine="640"/>
        <w:rPr>
          <w:rFonts w:ascii="仿宋" w:eastAsia="仿宋" w:hAnsi="仿宋"/>
          <w:sz w:val="32"/>
          <w:szCs w:val="32"/>
        </w:rPr>
      </w:pPr>
      <w:r w:rsidRPr="00AF0151">
        <w:rPr>
          <w:rFonts w:ascii="仿宋" w:eastAsia="仿宋" w:hAnsi="仿宋" w:cs="宋体"/>
          <w:noProof w:val="0"/>
          <w:sz w:val="32"/>
          <w:szCs w:val="32"/>
        </w:rPr>
        <w:t>PRV</w:t>
      </w:r>
      <w:r w:rsidRPr="00AF0151">
        <w:rPr>
          <w:rFonts w:ascii="仿宋" w:eastAsia="仿宋" w:hAnsi="仿宋"/>
          <w:sz w:val="32"/>
          <w:szCs w:val="32"/>
        </w:rPr>
        <w:t>-associated diseases</w:t>
      </w:r>
      <w:r w:rsidRPr="00AF0151">
        <w:rPr>
          <w:rFonts w:ascii="仿宋" w:eastAsia="仿宋" w:hAnsi="仿宋" w:hint="eastAsia"/>
          <w:sz w:val="32"/>
          <w:szCs w:val="32"/>
        </w:rPr>
        <w:t>是由鱼类呼肠孤病毒引发的</w:t>
      </w:r>
      <w:r w:rsidRPr="00AF0151">
        <w:rPr>
          <w:rFonts w:ascii="仿宋" w:eastAsia="仿宋" w:hAnsi="仿宋"/>
          <w:sz w:val="32"/>
          <w:szCs w:val="32"/>
        </w:rPr>
        <w:t>PRV</w:t>
      </w:r>
      <w:r w:rsidRPr="00AF0151">
        <w:rPr>
          <w:rFonts w:ascii="仿宋" w:eastAsia="仿宋" w:hAnsi="仿宋" w:hint="eastAsia"/>
          <w:sz w:val="32"/>
          <w:szCs w:val="32"/>
        </w:rPr>
        <w:t>相关疾病，已成为制约全球鲑鳟类养殖业可持续发展的核心瓶颈之一。</w:t>
      </w:r>
      <w:r w:rsidRPr="00AF0151">
        <w:rPr>
          <w:rFonts w:ascii="仿宋" w:eastAsia="仿宋" w:hAnsi="仿宋"/>
          <w:sz w:val="32"/>
          <w:szCs w:val="32"/>
        </w:rPr>
        <w:t>PRV</w:t>
      </w:r>
      <w:r w:rsidRPr="00AF0151">
        <w:rPr>
          <w:rFonts w:ascii="仿宋" w:eastAsia="仿宋" w:hAnsi="仿宋" w:hint="eastAsia"/>
          <w:sz w:val="32"/>
          <w:szCs w:val="32"/>
        </w:rPr>
        <w:t>的三种基因型在地理分布和宿主上存在分野。</w:t>
      </w:r>
      <w:r w:rsidRPr="00AF0151">
        <w:rPr>
          <w:rFonts w:ascii="仿宋" w:eastAsia="仿宋" w:hAnsi="仿宋"/>
          <w:sz w:val="32"/>
          <w:szCs w:val="32"/>
        </w:rPr>
        <w:t>PRV-1</w:t>
      </w:r>
      <w:r w:rsidRPr="00AF0151">
        <w:rPr>
          <w:rFonts w:ascii="仿宋" w:eastAsia="仿宋" w:hAnsi="仿宋" w:hint="eastAsia"/>
          <w:sz w:val="32"/>
          <w:szCs w:val="32"/>
        </w:rPr>
        <w:t>主要感染大西洋鲑，在全球多个主产区流行。</w:t>
      </w:r>
      <w:r w:rsidRPr="00AF0151">
        <w:rPr>
          <w:rFonts w:ascii="仿宋" w:eastAsia="仿宋" w:hAnsi="仿宋"/>
          <w:sz w:val="32"/>
          <w:szCs w:val="32"/>
        </w:rPr>
        <w:t>PRV-2</w:t>
      </w:r>
      <w:r w:rsidRPr="00AF0151">
        <w:rPr>
          <w:rFonts w:ascii="仿宋" w:eastAsia="仿宋" w:hAnsi="仿宋" w:hint="eastAsia"/>
          <w:sz w:val="32"/>
          <w:szCs w:val="32"/>
        </w:rPr>
        <w:t>地理与宿主范围较窄，主要在太平洋西北部及日本的银鲑中流行。</w:t>
      </w:r>
      <w:r w:rsidRPr="00AF0151">
        <w:rPr>
          <w:rFonts w:ascii="仿宋" w:eastAsia="仿宋" w:hAnsi="仿宋"/>
          <w:sz w:val="32"/>
          <w:szCs w:val="32"/>
        </w:rPr>
        <w:t>PRV-3</w:t>
      </w:r>
      <w:r w:rsidRPr="00AF0151">
        <w:rPr>
          <w:rFonts w:ascii="仿宋" w:eastAsia="仿宋" w:hAnsi="仿宋" w:hint="eastAsia"/>
          <w:sz w:val="32"/>
          <w:szCs w:val="32"/>
        </w:rPr>
        <w:t>最初在出现类似</w:t>
      </w:r>
      <w:r w:rsidRPr="00AF0151">
        <w:rPr>
          <w:rFonts w:ascii="仿宋" w:eastAsia="仿宋" w:hAnsi="仿宋"/>
          <w:sz w:val="32"/>
          <w:szCs w:val="32"/>
        </w:rPr>
        <w:t>HSMI</w:t>
      </w:r>
      <w:r w:rsidRPr="00AF0151">
        <w:rPr>
          <w:rFonts w:ascii="仿宋" w:eastAsia="仿宋" w:hAnsi="仿宋" w:hint="eastAsia"/>
          <w:sz w:val="32"/>
          <w:szCs w:val="32"/>
        </w:rPr>
        <w:t>症状的虹鳟及银鲑中被发现。病毒主要通过水平传播在养殖水体中高效扩散，如下海后鱼群感染率可指数级飙升至近</w:t>
      </w:r>
      <w:r w:rsidRPr="00AF0151">
        <w:rPr>
          <w:rFonts w:ascii="仿宋" w:eastAsia="仿宋" w:hAnsi="仿宋"/>
          <w:sz w:val="32"/>
          <w:szCs w:val="32"/>
        </w:rPr>
        <w:t>100%</w:t>
      </w:r>
      <w:r w:rsidRPr="00AF0151">
        <w:rPr>
          <w:rFonts w:ascii="仿宋" w:eastAsia="仿宋" w:hAnsi="仿宋" w:hint="eastAsia"/>
          <w:sz w:val="32"/>
          <w:szCs w:val="32"/>
        </w:rPr>
        <w:t>。垂直传播（经卵）在自然条件下极罕见，亲代至子代的传播多由受精卵表面沾染带毒体液导致，可通过碘制剂消毒有效阻断。</w:t>
      </w:r>
    </w:p>
    <w:p w14:paraId="3CABB68D" w14:textId="77777777" w:rsidR="00EF7444" w:rsidRPr="00AF0151" w:rsidRDefault="00186307" w:rsidP="00AF0151">
      <w:pPr>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w:t>
      </w:r>
      <w:r w:rsidR="00EF7444" w:rsidRPr="00AF0151">
        <w:rPr>
          <w:rFonts w:ascii="仿宋" w:eastAsia="仿宋" w:hAnsi="仿宋"/>
          <w:b/>
          <w:bCs/>
          <w:sz w:val="32"/>
          <w:szCs w:val="32"/>
        </w:rPr>
        <w:t>8</w:t>
      </w:r>
      <w:r w:rsidRPr="00AF0151">
        <w:rPr>
          <w:rFonts w:ascii="仿宋" w:eastAsia="仿宋" w:hAnsi="仿宋" w:hint="eastAsia"/>
          <w:b/>
          <w:bCs/>
          <w:sz w:val="32"/>
          <w:szCs w:val="32"/>
        </w:rPr>
        <w:t>）</w:t>
      </w:r>
      <w:r w:rsidR="00676EFC" w:rsidRPr="00AF0151">
        <w:rPr>
          <w:rFonts w:ascii="仿宋" w:eastAsia="仿宋" w:hAnsi="仿宋" w:hint="eastAsia"/>
          <w:b/>
          <w:bCs/>
          <w:sz w:val="32"/>
          <w:szCs w:val="32"/>
        </w:rPr>
        <w:t>重要</w:t>
      </w:r>
      <w:r w:rsidRPr="00AF0151">
        <w:rPr>
          <w:rFonts w:ascii="仿宋" w:eastAsia="仿宋" w:hAnsi="仿宋" w:hint="eastAsia"/>
          <w:b/>
          <w:bCs/>
          <w:sz w:val="32"/>
          <w:szCs w:val="32"/>
        </w:rPr>
        <w:t>细菌</w:t>
      </w:r>
      <w:r w:rsidR="00676EFC" w:rsidRPr="00AF0151">
        <w:rPr>
          <w:rFonts w:ascii="仿宋" w:eastAsia="仿宋" w:hAnsi="仿宋" w:hint="eastAsia"/>
          <w:b/>
          <w:bCs/>
          <w:sz w:val="32"/>
          <w:szCs w:val="32"/>
        </w:rPr>
        <w:t>性疫病</w:t>
      </w:r>
      <w:r w:rsidRPr="00AF0151">
        <w:rPr>
          <w:rFonts w:ascii="仿宋" w:eastAsia="仿宋" w:hAnsi="仿宋" w:hint="eastAsia"/>
          <w:b/>
          <w:bCs/>
          <w:sz w:val="32"/>
          <w:szCs w:val="32"/>
        </w:rPr>
        <w:t>：</w:t>
      </w:r>
      <w:proofErr w:type="gramStart"/>
      <w:r w:rsidRPr="00AF0151">
        <w:rPr>
          <w:rFonts w:ascii="仿宋" w:eastAsia="仿宋" w:hAnsi="仿宋" w:hint="eastAsia"/>
          <w:b/>
          <w:bCs/>
          <w:sz w:val="32"/>
          <w:szCs w:val="32"/>
        </w:rPr>
        <w:t>鲑</w:t>
      </w:r>
      <w:proofErr w:type="gramEnd"/>
      <w:r w:rsidRPr="00AF0151">
        <w:rPr>
          <w:rFonts w:ascii="仿宋" w:eastAsia="仿宋" w:hAnsi="仿宋" w:hint="eastAsia"/>
          <w:b/>
          <w:bCs/>
          <w:sz w:val="32"/>
          <w:szCs w:val="32"/>
        </w:rPr>
        <w:t>立克次体病（SRS）</w:t>
      </w:r>
      <w:r w:rsidR="00EF7444" w:rsidRPr="00AF0151">
        <w:rPr>
          <w:rFonts w:ascii="仿宋" w:eastAsia="仿宋" w:hAnsi="仿宋" w:hint="eastAsia"/>
          <w:b/>
          <w:bCs/>
          <w:sz w:val="32"/>
          <w:szCs w:val="32"/>
        </w:rPr>
        <w:t>、</w:t>
      </w:r>
      <w:r w:rsidRPr="00AF0151">
        <w:rPr>
          <w:rFonts w:ascii="仿宋" w:eastAsia="仿宋" w:hAnsi="仿宋" w:hint="eastAsia"/>
          <w:b/>
          <w:bCs/>
          <w:sz w:val="32"/>
          <w:szCs w:val="32"/>
        </w:rPr>
        <w:t>细菌性肾病（BKD）</w:t>
      </w:r>
      <w:r w:rsidR="00EF7444" w:rsidRPr="00AF0151">
        <w:rPr>
          <w:rFonts w:ascii="仿宋" w:eastAsia="仿宋" w:hAnsi="仿宋" w:hint="eastAsia"/>
          <w:b/>
          <w:bCs/>
          <w:sz w:val="32"/>
          <w:szCs w:val="32"/>
        </w:rPr>
        <w:t>和杀</w:t>
      </w:r>
      <w:proofErr w:type="gramStart"/>
      <w:r w:rsidR="00EF7444" w:rsidRPr="00AF0151">
        <w:rPr>
          <w:rFonts w:ascii="仿宋" w:eastAsia="仿宋" w:hAnsi="仿宋" w:hint="eastAsia"/>
          <w:b/>
          <w:bCs/>
          <w:sz w:val="32"/>
          <w:szCs w:val="32"/>
        </w:rPr>
        <w:t>鲑气单</w:t>
      </w:r>
      <w:proofErr w:type="gramEnd"/>
      <w:r w:rsidR="00EF7444" w:rsidRPr="00AF0151">
        <w:rPr>
          <w:rFonts w:ascii="仿宋" w:eastAsia="仿宋" w:hAnsi="仿宋" w:hint="eastAsia"/>
          <w:b/>
          <w:bCs/>
          <w:sz w:val="32"/>
          <w:szCs w:val="32"/>
        </w:rPr>
        <w:t>胞菌疖疮病</w:t>
      </w:r>
    </w:p>
    <w:p w14:paraId="22870DF9" w14:textId="77777777" w:rsidR="00DB2B12" w:rsidRPr="00AF0151" w:rsidRDefault="00186307" w:rsidP="00DB2B12">
      <w:pPr>
        <w:pStyle w:val="a1"/>
        <w:adjustRightInd w:val="0"/>
        <w:snapToGrid w:val="0"/>
        <w:spacing w:before="100" w:beforeAutospacing="1" w:after="100" w:afterAutospacing="1"/>
        <w:ind w:firstLineChars="200" w:firstLine="640"/>
        <w:jc w:val="both"/>
        <w:rPr>
          <w:rFonts w:ascii="仿宋" w:eastAsia="仿宋" w:hAnsi="仿宋"/>
          <w:sz w:val="32"/>
          <w:szCs w:val="32"/>
        </w:rPr>
      </w:pPr>
      <w:proofErr w:type="gramStart"/>
      <w:r w:rsidRPr="00AF0151">
        <w:rPr>
          <w:rFonts w:ascii="仿宋" w:eastAsia="仿宋" w:hAnsi="仿宋" w:hint="eastAsia"/>
          <w:sz w:val="32"/>
          <w:szCs w:val="32"/>
        </w:rPr>
        <w:lastRenderedPageBreak/>
        <w:t>鲑</w:t>
      </w:r>
      <w:proofErr w:type="gramEnd"/>
      <w:r w:rsidRPr="00AF0151">
        <w:rPr>
          <w:rFonts w:ascii="仿宋" w:eastAsia="仿宋" w:hAnsi="仿宋" w:hint="eastAsia"/>
          <w:sz w:val="32"/>
          <w:szCs w:val="32"/>
        </w:rPr>
        <w:t>立克次体病（SRS）的病原为</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立克次体（</w:t>
      </w:r>
      <w:proofErr w:type="spellStart"/>
      <w:r w:rsidRPr="00AF0151">
        <w:rPr>
          <w:rFonts w:ascii="仿宋" w:eastAsia="仿宋" w:hAnsi="仿宋"/>
          <w:i/>
          <w:iCs/>
          <w:sz w:val="32"/>
          <w:szCs w:val="32"/>
        </w:rPr>
        <w:t>Piscirickettsia</w:t>
      </w:r>
      <w:proofErr w:type="spellEnd"/>
      <w:r w:rsidRPr="00AF0151">
        <w:rPr>
          <w:rFonts w:ascii="仿宋" w:eastAsia="仿宋" w:hAnsi="仿宋"/>
          <w:i/>
          <w:iCs/>
          <w:sz w:val="32"/>
          <w:szCs w:val="32"/>
        </w:rPr>
        <w:t xml:space="preserve"> </w:t>
      </w:r>
      <w:proofErr w:type="spellStart"/>
      <w:r w:rsidRPr="00AF0151">
        <w:rPr>
          <w:rFonts w:ascii="仿宋" w:eastAsia="仿宋" w:hAnsi="仿宋"/>
          <w:i/>
          <w:iCs/>
          <w:sz w:val="32"/>
          <w:szCs w:val="32"/>
        </w:rPr>
        <w:t>salmonis</w:t>
      </w:r>
      <w:proofErr w:type="spellEnd"/>
      <w:r w:rsidRPr="00AF0151">
        <w:rPr>
          <w:rFonts w:ascii="仿宋" w:eastAsia="仿宋" w:hAnsi="仿宋" w:hint="eastAsia"/>
          <w:sz w:val="32"/>
          <w:szCs w:val="32"/>
        </w:rPr>
        <w:t>），是一种专性细胞内寄生的革兰氏阴性菌，能够侵入巨噬细胞导致免疫系统崩溃。SRS不仅是智利鲑鱼养殖业伤亡率第一的杀手，更迫使该国产业长期依赖抗生素，严重损害了产品的国际声誉。随着我国引种量的攀升，防范SRS跨区域传入是国家生物安全的底线。</w:t>
      </w:r>
      <w:r w:rsidRPr="00AF0151">
        <w:rPr>
          <w:rFonts w:ascii="仿宋" w:eastAsia="仿宋" w:hAnsi="仿宋"/>
          <w:sz w:val="32"/>
          <w:szCs w:val="32"/>
        </w:rPr>
        <w:t xml:space="preserve"> </w:t>
      </w:r>
      <w:r w:rsidRPr="00AF0151">
        <w:rPr>
          <w:rFonts w:ascii="仿宋" w:eastAsia="仿宋" w:hAnsi="仿宋" w:hint="eastAsia"/>
          <w:sz w:val="32"/>
          <w:szCs w:val="32"/>
        </w:rPr>
        <w:t>细菌性肾病（BKD）由生长极其缓慢的</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肾杆菌（</w:t>
      </w:r>
      <w:proofErr w:type="spellStart"/>
      <w:r w:rsidRPr="00AF0151">
        <w:rPr>
          <w:rFonts w:ascii="仿宋" w:eastAsia="仿宋" w:hAnsi="仿宋"/>
          <w:i/>
          <w:iCs/>
          <w:sz w:val="32"/>
          <w:szCs w:val="32"/>
        </w:rPr>
        <w:t>Renibacterium</w:t>
      </w:r>
      <w:proofErr w:type="spellEnd"/>
      <w:r w:rsidRPr="00AF0151">
        <w:rPr>
          <w:rFonts w:ascii="仿宋" w:eastAsia="仿宋" w:hAnsi="仿宋"/>
          <w:i/>
          <w:iCs/>
          <w:sz w:val="32"/>
          <w:szCs w:val="32"/>
        </w:rPr>
        <w:t xml:space="preserve"> </w:t>
      </w:r>
      <w:proofErr w:type="spellStart"/>
      <w:r w:rsidRPr="00AF0151">
        <w:rPr>
          <w:rFonts w:ascii="仿宋" w:eastAsia="仿宋" w:hAnsi="仿宋"/>
          <w:i/>
          <w:iCs/>
          <w:sz w:val="32"/>
          <w:szCs w:val="32"/>
        </w:rPr>
        <w:t>salmoninarum</w:t>
      </w:r>
      <w:proofErr w:type="spellEnd"/>
      <w:r w:rsidRPr="00AF0151">
        <w:rPr>
          <w:rFonts w:ascii="仿宋" w:eastAsia="仿宋" w:hAnsi="仿宋" w:hint="eastAsia"/>
          <w:sz w:val="32"/>
          <w:szCs w:val="32"/>
        </w:rPr>
        <w:t>）引起，此</w:t>
      </w:r>
      <w:proofErr w:type="gramStart"/>
      <w:r w:rsidRPr="00AF0151">
        <w:rPr>
          <w:rFonts w:ascii="仿宋" w:eastAsia="仿宋" w:hAnsi="仿宋" w:hint="eastAsia"/>
          <w:sz w:val="32"/>
          <w:szCs w:val="32"/>
        </w:rPr>
        <w:t>菌具有</w:t>
      </w:r>
      <w:proofErr w:type="gramEnd"/>
      <w:r w:rsidRPr="00AF0151">
        <w:rPr>
          <w:rFonts w:ascii="仿宋" w:eastAsia="仿宋" w:hAnsi="仿宋" w:hint="eastAsia"/>
          <w:sz w:val="32"/>
          <w:szCs w:val="32"/>
        </w:rPr>
        <w:t>极强的隐蔽性与垂直传播能力。带有肉芽肿病灶的潜伏鱼体一旦释放细菌，往往在整个网箱中形成难以察觉的慢性消耗性疫病。</w:t>
      </w:r>
      <w:r w:rsidR="00EF7444" w:rsidRPr="00AF0151">
        <w:rPr>
          <w:rFonts w:ascii="仿宋" w:eastAsia="仿宋" w:hAnsi="仿宋" w:hint="eastAsia"/>
          <w:sz w:val="32"/>
          <w:szCs w:val="32"/>
        </w:rPr>
        <w:t>由杀</w:t>
      </w:r>
      <w:proofErr w:type="gramStart"/>
      <w:r w:rsidR="00EF7444" w:rsidRPr="00AF0151">
        <w:rPr>
          <w:rFonts w:ascii="仿宋" w:eastAsia="仿宋" w:hAnsi="仿宋" w:hint="eastAsia"/>
          <w:sz w:val="32"/>
          <w:szCs w:val="32"/>
        </w:rPr>
        <w:t>鲑气单</w:t>
      </w:r>
      <w:proofErr w:type="gramEnd"/>
      <w:r w:rsidR="00EF7444" w:rsidRPr="00AF0151">
        <w:rPr>
          <w:rFonts w:ascii="仿宋" w:eastAsia="仿宋" w:hAnsi="仿宋" w:hint="eastAsia"/>
          <w:sz w:val="32"/>
          <w:szCs w:val="32"/>
        </w:rPr>
        <w:t>胞菌引起的疖疮病是导致</w:t>
      </w:r>
      <w:proofErr w:type="gramStart"/>
      <w:r w:rsidR="00EF7444" w:rsidRPr="00AF0151">
        <w:rPr>
          <w:rFonts w:ascii="仿宋" w:eastAsia="仿宋" w:hAnsi="仿宋" w:hint="eastAsia"/>
          <w:sz w:val="32"/>
          <w:szCs w:val="32"/>
        </w:rPr>
        <w:t>鲑鳟</w:t>
      </w:r>
      <w:proofErr w:type="gramEnd"/>
      <w:r w:rsidR="00EF7444" w:rsidRPr="00AF0151">
        <w:rPr>
          <w:rFonts w:ascii="仿宋" w:eastAsia="仿宋" w:hAnsi="仿宋" w:hint="eastAsia"/>
          <w:sz w:val="32"/>
          <w:szCs w:val="32"/>
        </w:rPr>
        <w:t>发生极度败血症的严重感染。该病原呈全球性分布，大西洋</w:t>
      </w:r>
      <w:proofErr w:type="gramStart"/>
      <w:r w:rsidR="00EF7444" w:rsidRPr="00AF0151">
        <w:rPr>
          <w:rFonts w:ascii="仿宋" w:eastAsia="仿宋" w:hAnsi="仿宋" w:hint="eastAsia"/>
          <w:sz w:val="32"/>
          <w:szCs w:val="32"/>
        </w:rPr>
        <w:t>鲑等溯</w:t>
      </w:r>
      <w:proofErr w:type="gramEnd"/>
      <w:r w:rsidR="00EF7444" w:rsidRPr="00AF0151">
        <w:rPr>
          <w:rFonts w:ascii="仿宋" w:eastAsia="仿宋" w:hAnsi="仿宋" w:hint="eastAsia"/>
          <w:sz w:val="32"/>
          <w:szCs w:val="32"/>
        </w:rPr>
        <w:t>河性鱼类极度敏感，而虹鳟相对具有较强抵抗力。疫病暴发常在水温跃升至</w:t>
      </w:r>
      <w:r w:rsidR="00EF7444" w:rsidRPr="00AF0151">
        <w:rPr>
          <w:rFonts w:ascii="仿宋" w:eastAsia="仿宋" w:hAnsi="仿宋"/>
          <w:sz w:val="32"/>
          <w:szCs w:val="32"/>
        </w:rPr>
        <w:t xml:space="preserve">10 </w:t>
      </w:r>
      <w:r w:rsidR="00EF7444" w:rsidRPr="00AF0151">
        <w:rPr>
          <w:rFonts w:ascii="仿宋" w:eastAsia="仿宋" w:hAnsi="仿宋" w:hint="eastAsia"/>
          <w:sz w:val="32"/>
          <w:szCs w:val="32"/>
        </w:rPr>
        <w:t>℃以上时迅速恶化，养殖密度过大、频繁网</w:t>
      </w:r>
      <w:proofErr w:type="gramStart"/>
      <w:r w:rsidR="00EF7444" w:rsidRPr="00AF0151">
        <w:rPr>
          <w:rFonts w:ascii="仿宋" w:eastAsia="仿宋" w:hAnsi="仿宋" w:hint="eastAsia"/>
          <w:sz w:val="32"/>
          <w:szCs w:val="32"/>
        </w:rPr>
        <w:t>笼操作</w:t>
      </w:r>
      <w:proofErr w:type="gramEnd"/>
      <w:r w:rsidR="00EF7444" w:rsidRPr="00AF0151">
        <w:rPr>
          <w:rFonts w:ascii="仿宋" w:eastAsia="仿宋" w:hAnsi="仿宋" w:hint="eastAsia"/>
          <w:sz w:val="32"/>
          <w:szCs w:val="32"/>
        </w:rPr>
        <w:t>或水质骤变等外源性应激是发病的主要推手。致病菌可借助受污染水柱、直接接触进行剧烈水平传播，且海</w:t>
      </w:r>
      <w:proofErr w:type="gramStart"/>
      <w:r w:rsidR="00EF7444" w:rsidRPr="00AF0151">
        <w:rPr>
          <w:rFonts w:ascii="仿宋" w:eastAsia="仿宋" w:hAnsi="仿宋" w:hint="eastAsia"/>
          <w:sz w:val="32"/>
          <w:szCs w:val="32"/>
        </w:rPr>
        <w:t>虱</w:t>
      </w:r>
      <w:proofErr w:type="gramEnd"/>
      <w:r w:rsidR="00EF7444" w:rsidRPr="00AF0151">
        <w:rPr>
          <w:rFonts w:ascii="仿宋" w:eastAsia="仿宋" w:hAnsi="仿宋" w:hint="eastAsia"/>
          <w:sz w:val="32"/>
          <w:szCs w:val="32"/>
        </w:rPr>
        <w:t>、水鸟等也能作为机械媒介。大量康复鱼会转化为终身隐性带菌者，持续向环境排菌。</w:t>
      </w:r>
    </w:p>
    <w:p w14:paraId="322FDFA0" w14:textId="77777777" w:rsidR="00284314" w:rsidRPr="00AF0151" w:rsidRDefault="00186307" w:rsidP="00DB2B12">
      <w:pPr>
        <w:pStyle w:val="a1"/>
        <w:adjustRightInd w:val="0"/>
        <w:snapToGrid w:val="0"/>
        <w:spacing w:before="100" w:beforeAutospacing="1" w:after="100" w:afterAutospacing="1"/>
        <w:ind w:firstLineChars="200" w:firstLine="643"/>
        <w:jc w:val="both"/>
        <w:rPr>
          <w:rFonts w:ascii="仿宋" w:eastAsia="仿宋" w:hAnsi="仿宋"/>
          <w:b/>
          <w:bCs/>
          <w:sz w:val="32"/>
          <w:szCs w:val="32"/>
        </w:rPr>
      </w:pPr>
      <w:r w:rsidRPr="00AF0151">
        <w:rPr>
          <w:rFonts w:ascii="仿宋" w:eastAsia="仿宋" w:hAnsi="仿宋" w:hint="eastAsia"/>
          <w:b/>
          <w:bCs/>
          <w:sz w:val="32"/>
          <w:szCs w:val="32"/>
        </w:rPr>
        <w:t>（</w:t>
      </w:r>
      <w:r w:rsidR="00225E39" w:rsidRPr="00AF0151">
        <w:rPr>
          <w:rFonts w:ascii="仿宋" w:eastAsia="仿宋" w:hAnsi="仿宋"/>
          <w:b/>
          <w:bCs/>
          <w:sz w:val="32"/>
          <w:szCs w:val="32"/>
        </w:rPr>
        <w:t>9</w:t>
      </w:r>
      <w:r w:rsidRPr="00AF0151">
        <w:rPr>
          <w:rFonts w:ascii="仿宋" w:eastAsia="仿宋" w:hAnsi="仿宋" w:hint="eastAsia"/>
          <w:b/>
          <w:bCs/>
          <w:sz w:val="32"/>
          <w:szCs w:val="32"/>
        </w:rPr>
        <w:t>）寄生虫病：海</w:t>
      </w:r>
      <w:proofErr w:type="gramStart"/>
      <w:r w:rsidRPr="00AF0151">
        <w:rPr>
          <w:rFonts w:ascii="仿宋" w:eastAsia="仿宋" w:hAnsi="仿宋" w:hint="eastAsia"/>
          <w:b/>
          <w:bCs/>
          <w:sz w:val="32"/>
          <w:szCs w:val="32"/>
        </w:rPr>
        <w:t>虱</w:t>
      </w:r>
      <w:proofErr w:type="gramEnd"/>
      <w:r w:rsidRPr="00AF0151">
        <w:rPr>
          <w:rFonts w:ascii="仿宋" w:eastAsia="仿宋" w:hAnsi="仿宋" w:hint="eastAsia"/>
          <w:b/>
          <w:bCs/>
          <w:sz w:val="32"/>
          <w:szCs w:val="32"/>
        </w:rPr>
        <w:t>病（</w:t>
      </w:r>
      <w:r w:rsidRPr="00AF0151">
        <w:rPr>
          <w:rFonts w:ascii="仿宋" w:eastAsia="仿宋" w:hAnsi="仿宋"/>
          <w:b/>
          <w:bCs/>
          <w:sz w:val="32"/>
          <w:szCs w:val="32"/>
        </w:rPr>
        <w:t>sea lice infestation</w:t>
      </w:r>
      <w:r w:rsidRPr="00AF0151">
        <w:rPr>
          <w:rFonts w:ascii="仿宋" w:eastAsia="仿宋" w:hAnsi="仿宋" w:hint="eastAsia"/>
          <w:b/>
          <w:bCs/>
          <w:sz w:val="32"/>
          <w:szCs w:val="32"/>
        </w:rPr>
        <w:t>）</w:t>
      </w:r>
      <w:r w:rsidR="00284314" w:rsidRPr="00AF0151">
        <w:rPr>
          <w:rFonts w:ascii="仿宋" w:eastAsia="仿宋" w:hAnsi="仿宋" w:hint="eastAsia"/>
          <w:b/>
          <w:bCs/>
          <w:sz w:val="32"/>
          <w:szCs w:val="32"/>
        </w:rPr>
        <w:t>、小瓜虫病和三代虫病</w:t>
      </w:r>
    </w:p>
    <w:p w14:paraId="71A2D29E" w14:textId="77777777" w:rsidR="00DB2B12" w:rsidRPr="00AF0151" w:rsidRDefault="00284314" w:rsidP="00DB2B12">
      <w:pPr>
        <w:pStyle w:val="a1"/>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病</w:t>
      </w:r>
      <w:r w:rsidR="00186307" w:rsidRPr="00AF0151">
        <w:rPr>
          <w:rFonts w:ascii="仿宋" w:eastAsia="仿宋" w:hAnsi="仿宋" w:hint="eastAsia"/>
          <w:sz w:val="32"/>
          <w:szCs w:val="32"/>
        </w:rPr>
        <w:t>是由以</w:t>
      </w:r>
      <w:proofErr w:type="gramStart"/>
      <w:r w:rsidR="00186307" w:rsidRPr="00AF0151">
        <w:rPr>
          <w:rFonts w:ascii="仿宋" w:eastAsia="仿宋" w:hAnsi="仿宋" w:hint="eastAsia"/>
          <w:sz w:val="32"/>
          <w:szCs w:val="32"/>
        </w:rPr>
        <w:t>鲑</w:t>
      </w:r>
      <w:proofErr w:type="gramEnd"/>
      <w:r w:rsidR="00186307" w:rsidRPr="00AF0151">
        <w:rPr>
          <w:rFonts w:ascii="仿宋" w:eastAsia="仿宋" w:hAnsi="仿宋" w:hint="eastAsia"/>
          <w:sz w:val="32"/>
          <w:szCs w:val="32"/>
        </w:rPr>
        <w:t>疮痂鱼</w:t>
      </w:r>
      <w:proofErr w:type="gramStart"/>
      <w:r w:rsidR="00186307" w:rsidRPr="00AF0151">
        <w:rPr>
          <w:rFonts w:ascii="仿宋" w:eastAsia="仿宋" w:hAnsi="仿宋" w:hint="eastAsia"/>
          <w:sz w:val="32"/>
          <w:szCs w:val="32"/>
        </w:rPr>
        <w:t>虱</w:t>
      </w:r>
      <w:proofErr w:type="gramEnd"/>
      <w:r w:rsidR="00186307" w:rsidRPr="00AF0151">
        <w:rPr>
          <w:rFonts w:ascii="仿宋" w:eastAsia="仿宋" w:hAnsi="仿宋" w:hint="eastAsia"/>
          <w:sz w:val="32"/>
          <w:szCs w:val="32"/>
        </w:rPr>
        <w:t>（</w:t>
      </w:r>
      <w:proofErr w:type="spellStart"/>
      <w:r w:rsidR="00186307" w:rsidRPr="00AF0151">
        <w:rPr>
          <w:rFonts w:ascii="仿宋" w:eastAsia="仿宋" w:hAnsi="仿宋"/>
          <w:sz w:val="32"/>
          <w:szCs w:val="32"/>
        </w:rPr>
        <w:t>Lepeophtheirus</w:t>
      </w:r>
      <w:proofErr w:type="spellEnd"/>
      <w:r w:rsidR="00186307" w:rsidRPr="00AF0151">
        <w:rPr>
          <w:rFonts w:ascii="仿宋" w:eastAsia="仿宋" w:hAnsi="仿宋"/>
          <w:sz w:val="32"/>
          <w:szCs w:val="32"/>
        </w:rPr>
        <w:t xml:space="preserve"> </w:t>
      </w:r>
      <w:proofErr w:type="spellStart"/>
      <w:r w:rsidR="00186307" w:rsidRPr="00AF0151">
        <w:rPr>
          <w:rFonts w:ascii="仿宋" w:eastAsia="仿宋" w:hAnsi="仿宋"/>
          <w:sz w:val="32"/>
          <w:szCs w:val="32"/>
        </w:rPr>
        <w:t>salmonis</w:t>
      </w:r>
      <w:proofErr w:type="spellEnd"/>
      <w:r w:rsidR="00186307" w:rsidRPr="00AF0151">
        <w:rPr>
          <w:rFonts w:ascii="仿宋" w:eastAsia="仿宋" w:hAnsi="仿宋" w:hint="eastAsia"/>
          <w:sz w:val="32"/>
          <w:szCs w:val="32"/>
        </w:rPr>
        <w:t>）为代表的海</w:t>
      </w:r>
      <w:proofErr w:type="gramStart"/>
      <w:r w:rsidR="00186307" w:rsidRPr="00AF0151">
        <w:rPr>
          <w:rFonts w:ascii="仿宋" w:eastAsia="仿宋" w:hAnsi="仿宋" w:hint="eastAsia"/>
          <w:sz w:val="32"/>
          <w:szCs w:val="32"/>
        </w:rPr>
        <w:t>虱</w:t>
      </w:r>
      <w:proofErr w:type="gramEnd"/>
      <w:r w:rsidR="00186307" w:rsidRPr="00AF0151">
        <w:rPr>
          <w:rFonts w:ascii="仿宋" w:eastAsia="仿宋" w:hAnsi="仿宋" w:hint="eastAsia"/>
          <w:sz w:val="32"/>
          <w:szCs w:val="32"/>
        </w:rPr>
        <w:t>寄生引起的寄生虫病害，是全球海水养殖独有的顽疾</w:t>
      </w:r>
      <w:r w:rsidR="00186307" w:rsidRPr="00AF0151">
        <w:rPr>
          <w:rFonts w:ascii="仿宋" w:eastAsia="仿宋" w:hAnsi="仿宋"/>
          <w:sz w:val="32"/>
          <w:szCs w:val="32"/>
        </w:rPr>
        <w:t xml:space="preserve"> </w:t>
      </w:r>
      <w:r w:rsidR="00186307" w:rsidRPr="00AF0151">
        <w:rPr>
          <w:rFonts w:ascii="仿宋" w:eastAsia="仿宋" w:hAnsi="仿宋" w:hint="eastAsia"/>
          <w:sz w:val="32"/>
          <w:szCs w:val="32"/>
        </w:rPr>
        <w:t>。海</w:t>
      </w:r>
      <w:proofErr w:type="gramStart"/>
      <w:r w:rsidR="00186307" w:rsidRPr="00AF0151">
        <w:rPr>
          <w:rFonts w:ascii="仿宋" w:eastAsia="仿宋" w:hAnsi="仿宋" w:hint="eastAsia"/>
          <w:sz w:val="32"/>
          <w:szCs w:val="32"/>
        </w:rPr>
        <w:t>虱</w:t>
      </w:r>
      <w:proofErr w:type="gramEnd"/>
      <w:r w:rsidR="00186307" w:rsidRPr="00AF0151">
        <w:rPr>
          <w:rFonts w:ascii="仿宋" w:eastAsia="仿宋" w:hAnsi="仿宋" w:hint="eastAsia"/>
          <w:sz w:val="32"/>
          <w:szCs w:val="32"/>
        </w:rPr>
        <w:t>在全海水高盐度下繁殖极其迅速，其吸血和</w:t>
      </w:r>
      <w:proofErr w:type="gramStart"/>
      <w:r w:rsidR="00186307" w:rsidRPr="00AF0151">
        <w:rPr>
          <w:rFonts w:ascii="仿宋" w:eastAsia="仿宋" w:hAnsi="仿宋" w:hint="eastAsia"/>
          <w:sz w:val="32"/>
          <w:szCs w:val="32"/>
        </w:rPr>
        <w:t>刮食不仅</w:t>
      </w:r>
      <w:proofErr w:type="gramEnd"/>
      <w:r w:rsidR="00186307" w:rsidRPr="00AF0151">
        <w:rPr>
          <w:rFonts w:ascii="仿宋" w:eastAsia="仿宋" w:hAnsi="仿宋" w:hint="eastAsia"/>
          <w:sz w:val="32"/>
          <w:szCs w:val="32"/>
        </w:rPr>
        <w:t>造成鱼</w:t>
      </w:r>
      <w:proofErr w:type="gramStart"/>
      <w:r w:rsidR="00186307" w:rsidRPr="00AF0151">
        <w:rPr>
          <w:rFonts w:ascii="仿宋" w:eastAsia="仿宋" w:hAnsi="仿宋" w:hint="eastAsia"/>
          <w:sz w:val="32"/>
          <w:szCs w:val="32"/>
        </w:rPr>
        <w:t>体严重</w:t>
      </w:r>
      <w:proofErr w:type="gramEnd"/>
      <w:r w:rsidR="00186307" w:rsidRPr="00AF0151">
        <w:rPr>
          <w:rFonts w:ascii="仿宋" w:eastAsia="仿宋" w:hAnsi="仿宋" w:hint="eastAsia"/>
          <w:sz w:val="32"/>
          <w:szCs w:val="32"/>
        </w:rPr>
        <w:t>的外表皮溃烂，更值得注意的是，海</w:t>
      </w:r>
      <w:proofErr w:type="gramStart"/>
      <w:r w:rsidR="00186307" w:rsidRPr="00AF0151">
        <w:rPr>
          <w:rFonts w:ascii="仿宋" w:eastAsia="仿宋" w:hAnsi="仿宋" w:hint="eastAsia"/>
          <w:sz w:val="32"/>
          <w:szCs w:val="32"/>
        </w:rPr>
        <w:t>虱</w:t>
      </w:r>
      <w:proofErr w:type="gramEnd"/>
      <w:r w:rsidR="00186307" w:rsidRPr="00AF0151">
        <w:rPr>
          <w:rFonts w:ascii="仿宋" w:eastAsia="仿宋" w:hAnsi="仿宋" w:hint="eastAsia"/>
          <w:sz w:val="32"/>
          <w:szCs w:val="32"/>
        </w:rPr>
        <w:t>常常充当其他病毒（如ISAV、VHSV）与致病菌的物理传播媒介。对海</w:t>
      </w:r>
      <w:proofErr w:type="gramStart"/>
      <w:r w:rsidR="00186307" w:rsidRPr="00AF0151">
        <w:rPr>
          <w:rFonts w:ascii="仿宋" w:eastAsia="仿宋" w:hAnsi="仿宋" w:hint="eastAsia"/>
          <w:sz w:val="32"/>
          <w:szCs w:val="32"/>
        </w:rPr>
        <w:t>虱</w:t>
      </w:r>
      <w:proofErr w:type="gramEnd"/>
      <w:r w:rsidR="00186307" w:rsidRPr="00AF0151">
        <w:rPr>
          <w:rFonts w:ascii="仿宋" w:eastAsia="仿宋" w:hAnsi="仿宋" w:hint="eastAsia"/>
          <w:sz w:val="32"/>
          <w:szCs w:val="32"/>
        </w:rPr>
        <w:t>的持续监测与阈值管控，是切断海洋牧场复合型感染链条的第一道防线。</w:t>
      </w:r>
      <w:r w:rsidRPr="00AF0151">
        <w:rPr>
          <w:rFonts w:ascii="仿宋" w:eastAsia="仿宋" w:hAnsi="仿宋" w:hint="eastAsia"/>
          <w:sz w:val="32"/>
          <w:szCs w:val="32"/>
        </w:rPr>
        <w:t>虹鳟小瓜虫病（白点病）由专性原生纤毛虫</w:t>
      </w:r>
      <w:proofErr w:type="gramStart"/>
      <w:r w:rsidRPr="00AF0151">
        <w:rPr>
          <w:rFonts w:ascii="仿宋" w:eastAsia="仿宋" w:hAnsi="仿宋" w:hint="eastAsia"/>
          <w:sz w:val="32"/>
          <w:szCs w:val="32"/>
        </w:rPr>
        <w:t>侵染</w:t>
      </w:r>
      <w:proofErr w:type="gramEnd"/>
      <w:r w:rsidRPr="00AF0151">
        <w:rPr>
          <w:rFonts w:ascii="仿宋" w:eastAsia="仿宋" w:hAnsi="仿宋" w:hint="eastAsia"/>
          <w:sz w:val="32"/>
          <w:szCs w:val="32"/>
        </w:rPr>
        <w:t>引发，临床破坏力极其惊人。多子小瓜虫在全球淡水流域呈全维度分布，宿主特异性极低，几乎能无差别</w:t>
      </w:r>
      <w:proofErr w:type="gramStart"/>
      <w:r w:rsidRPr="00AF0151">
        <w:rPr>
          <w:rFonts w:ascii="仿宋" w:eastAsia="仿宋" w:hAnsi="仿宋" w:hint="eastAsia"/>
          <w:sz w:val="32"/>
          <w:szCs w:val="32"/>
        </w:rPr>
        <w:t>侵染</w:t>
      </w:r>
      <w:proofErr w:type="gramEnd"/>
      <w:r w:rsidRPr="00AF0151">
        <w:rPr>
          <w:rFonts w:ascii="仿宋" w:eastAsia="仿宋" w:hAnsi="仿宋" w:hint="eastAsia"/>
          <w:sz w:val="32"/>
          <w:szCs w:val="32"/>
        </w:rPr>
        <w:t>所有淡水鱼种。因其具备包囊期成百上千</w:t>
      </w:r>
      <w:proofErr w:type="gramStart"/>
      <w:r w:rsidRPr="00AF0151">
        <w:rPr>
          <w:rFonts w:ascii="仿宋" w:eastAsia="仿宋" w:hAnsi="仿宋" w:hint="eastAsia"/>
          <w:sz w:val="32"/>
          <w:szCs w:val="32"/>
        </w:rPr>
        <w:t>倍</w:t>
      </w:r>
      <w:proofErr w:type="gramEnd"/>
      <w:r w:rsidRPr="00AF0151">
        <w:rPr>
          <w:rFonts w:ascii="仿宋" w:eastAsia="仿宋" w:hAnsi="仿宋" w:hint="eastAsia"/>
          <w:sz w:val="32"/>
          <w:szCs w:val="32"/>
        </w:rPr>
        <w:t>的核爆式细胞分裂潜力，集</w:t>
      </w:r>
      <w:r w:rsidRPr="00AF0151">
        <w:rPr>
          <w:rFonts w:ascii="仿宋" w:eastAsia="仿宋" w:hAnsi="仿宋" w:hint="eastAsia"/>
          <w:sz w:val="32"/>
          <w:szCs w:val="32"/>
        </w:rPr>
        <w:lastRenderedPageBreak/>
        <w:t>约化池塘一旦暴发未加干预，</w:t>
      </w:r>
      <w:proofErr w:type="gramStart"/>
      <w:r w:rsidRPr="00AF0151">
        <w:rPr>
          <w:rFonts w:ascii="仿宋" w:eastAsia="仿宋" w:hAnsi="仿宋" w:hint="eastAsia"/>
          <w:sz w:val="32"/>
          <w:szCs w:val="32"/>
        </w:rPr>
        <w:t>致死率常逼近</w:t>
      </w:r>
      <w:proofErr w:type="gramEnd"/>
      <w:r w:rsidRPr="00AF0151">
        <w:rPr>
          <w:rFonts w:ascii="仿宋" w:eastAsia="仿宋" w:hAnsi="仿宋"/>
          <w:sz w:val="32"/>
          <w:szCs w:val="32"/>
        </w:rPr>
        <w:t>100%</w:t>
      </w:r>
      <w:r w:rsidRPr="00AF0151">
        <w:rPr>
          <w:rFonts w:ascii="仿宋" w:eastAsia="仿宋" w:hAnsi="仿宋" w:hint="eastAsia"/>
          <w:sz w:val="32"/>
          <w:szCs w:val="32"/>
        </w:rPr>
        <w:t>。深埋皮下的滋养体天然抵御化学药物浸泡，根除极为棘手。感染致病性</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生三代虫的虹鳟早期可呈无症状隐性带虫状态，但随着虫口密度严重超载，病</w:t>
      </w:r>
      <w:proofErr w:type="gramStart"/>
      <w:r w:rsidRPr="00AF0151">
        <w:rPr>
          <w:rFonts w:ascii="仿宋" w:eastAsia="仿宋" w:hAnsi="仿宋" w:hint="eastAsia"/>
          <w:sz w:val="32"/>
          <w:szCs w:val="32"/>
        </w:rPr>
        <w:t>鱼行为</w:t>
      </w:r>
      <w:proofErr w:type="gramEnd"/>
      <w:r w:rsidRPr="00AF0151">
        <w:rPr>
          <w:rFonts w:ascii="仿宋" w:eastAsia="仿宋" w:hAnsi="仿宋" w:hint="eastAsia"/>
          <w:sz w:val="32"/>
          <w:szCs w:val="32"/>
        </w:rPr>
        <w:t>变得极度呆滞，常停滞于低流速区，阵发性</w:t>
      </w:r>
      <w:proofErr w:type="gramStart"/>
      <w:r w:rsidRPr="00AF0151">
        <w:rPr>
          <w:rFonts w:ascii="仿宋" w:eastAsia="仿宋" w:hAnsi="仿宋" w:hint="eastAsia"/>
          <w:sz w:val="32"/>
          <w:szCs w:val="32"/>
        </w:rPr>
        <w:t>剧烈闪游与</w:t>
      </w:r>
      <w:proofErr w:type="gramEnd"/>
      <w:r w:rsidRPr="00AF0151">
        <w:rPr>
          <w:rFonts w:ascii="仿宋" w:eastAsia="仿宋" w:hAnsi="仿宋" w:hint="eastAsia"/>
          <w:sz w:val="32"/>
          <w:szCs w:val="32"/>
        </w:rPr>
        <w:t>摩擦池壁。该虫是专性淡水体外寄生物（最高盐度耐受约</w:t>
      </w:r>
      <w:r w:rsidRPr="00AF0151">
        <w:rPr>
          <w:rFonts w:ascii="仿宋" w:eastAsia="仿宋" w:hAnsi="仿宋"/>
          <w:sz w:val="32"/>
          <w:szCs w:val="32"/>
        </w:rPr>
        <w:t>20 ppt</w:t>
      </w:r>
      <w:r w:rsidRPr="00AF0151">
        <w:rPr>
          <w:rFonts w:ascii="仿宋" w:eastAsia="仿宋" w:hAnsi="仿宋" w:hint="eastAsia"/>
          <w:sz w:val="32"/>
          <w:szCs w:val="32"/>
        </w:rPr>
        <w:t>），主要在波罗的海沿岸及挪威水域失控性蔓延。大西洋</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幼鱼对其</w:t>
      </w:r>
      <w:proofErr w:type="gramStart"/>
      <w:r w:rsidRPr="00AF0151">
        <w:rPr>
          <w:rFonts w:ascii="仿宋" w:eastAsia="仿宋" w:hAnsi="仿宋" w:hint="eastAsia"/>
          <w:sz w:val="32"/>
          <w:szCs w:val="32"/>
        </w:rPr>
        <w:t>表现出零免疫</w:t>
      </w:r>
      <w:proofErr w:type="gramEnd"/>
      <w:r w:rsidRPr="00AF0151">
        <w:rPr>
          <w:rFonts w:ascii="仿宋" w:eastAsia="仿宋" w:hAnsi="仿宋" w:hint="eastAsia"/>
          <w:sz w:val="32"/>
          <w:szCs w:val="32"/>
        </w:rPr>
        <w:t>抗性，极易诱发近乎</w:t>
      </w:r>
      <w:r w:rsidRPr="00AF0151">
        <w:rPr>
          <w:rFonts w:ascii="仿宋" w:eastAsia="仿宋" w:hAnsi="仿宋"/>
          <w:sz w:val="32"/>
          <w:szCs w:val="32"/>
        </w:rPr>
        <w:t>100%</w:t>
      </w:r>
      <w:r w:rsidRPr="00AF0151">
        <w:rPr>
          <w:rFonts w:ascii="仿宋" w:eastAsia="仿宋" w:hAnsi="仿宋" w:hint="eastAsia"/>
          <w:sz w:val="32"/>
          <w:szCs w:val="32"/>
        </w:rPr>
        <w:t>的种群灭绝；而虹鳟等</w:t>
      </w:r>
      <w:proofErr w:type="gramStart"/>
      <w:r w:rsidRPr="00AF0151">
        <w:rPr>
          <w:rFonts w:ascii="仿宋" w:eastAsia="仿宋" w:hAnsi="仿宋" w:hint="eastAsia"/>
          <w:sz w:val="32"/>
          <w:szCs w:val="32"/>
        </w:rPr>
        <w:t>近缘种</w:t>
      </w:r>
      <w:proofErr w:type="gramEnd"/>
      <w:r w:rsidRPr="00AF0151">
        <w:rPr>
          <w:rFonts w:ascii="仿宋" w:eastAsia="仿宋" w:hAnsi="仿宋" w:hint="eastAsia"/>
          <w:sz w:val="32"/>
          <w:szCs w:val="32"/>
        </w:rPr>
        <w:t>通常作为隐性活体水库常年散播病原。</w:t>
      </w:r>
      <w:bookmarkStart w:id="13" w:name="抽样数量与流行率阈值的统计学确立依据"/>
      <w:bookmarkEnd w:id="12"/>
    </w:p>
    <w:p w14:paraId="0E76DAE8" w14:textId="77777777" w:rsidR="00610C32" w:rsidRPr="00AF0151" w:rsidRDefault="00186307" w:rsidP="00DB2B12">
      <w:pPr>
        <w:pStyle w:val="4"/>
        <w:adjustRightInd w:val="0"/>
        <w:snapToGrid w:val="0"/>
        <w:spacing w:before="100" w:beforeAutospacing="1" w:after="100" w:afterAutospacing="1"/>
        <w:jc w:val="both"/>
        <w:rPr>
          <w:rFonts w:ascii="仿宋" w:eastAsia="仿宋" w:hAnsi="仿宋"/>
          <w:b/>
          <w:bCs/>
          <w:i w:val="0"/>
          <w:iCs w:val="0"/>
          <w:color w:val="auto"/>
          <w:sz w:val="32"/>
          <w:szCs w:val="32"/>
        </w:rPr>
      </w:pPr>
      <w:r w:rsidRPr="00AF0151">
        <w:rPr>
          <w:rFonts w:ascii="仿宋" w:eastAsia="仿宋" w:hAnsi="仿宋"/>
          <w:b/>
          <w:bCs/>
          <w:i w:val="0"/>
          <w:iCs w:val="0"/>
          <w:color w:val="auto"/>
          <w:sz w:val="32"/>
          <w:szCs w:val="32"/>
        </w:rPr>
        <w:t xml:space="preserve">2.2 </w:t>
      </w:r>
      <w:r w:rsidRPr="00AF0151">
        <w:rPr>
          <w:rFonts w:ascii="仿宋" w:eastAsia="仿宋" w:hAnsi="仿宋" w:hint="eastAsia"/>
          <w:b/>
          <w:bCs/>
          <w:i w:val="0"/>
          <w:iCs w:val="0"/>
          <w:color w:val="auto"/>
          <w:sz w:val="32"/>
          <w:szCs w:val="32"/>
        </w:rPr>
        <w:t>抽样数量与流行率阈值的统计学确立依据</w:t>
      </w:r>
    </w:p>
    <w:p w14:paraId="00B8B227"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监测方案的科学性直接决定了结果的置信水平，这不仅是生物学要求，更是严谨的统计学数学推演。</w:t>
      </w:r>
    </w:p>
    <w:p w14:paraId="48973AAA" w14:textId="77777777" w:rsidR="00DB2B12"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（1）采集数量规范</w:t>
      </w:r>
    </w:p>
    <w:p w14:paraId="6CB263F2"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本标准规定，在主动监测中，幼体样品应采集不少于100尾；后期幼体不少于50尾；</w:t>
      </w:r>
      <w:proofErr w:type="gramStart"/>
      <w:r w:rsidRPr="00AF0151">
        <w:rPr>
          <w:rFonts w:ascii="仿宋" w:eastAsia="仿宋" w:hAnsi="仿宋" w:hint="eastAsia"/>
          <w:sz w:val="32"/>
          <w:szCs w:val="32"/>
        </w:rPr>
        <w:t>稚</w:t>
      </w:r>
      <w:proofErr w:type="gramEnd"/>
      <w:r w:rsidRPr="00AF0151">
        <w:rPr>
          <w:rFonts w:ascii="仿宋" w:eastAsia="仿宋" w:hAnsi="仿宋" w:hint="eastAsia"/>
          <w:sz w:val="32"/>
          <w:szCs w:val="32"/>
        </w:rPr>
        <w:t>体或</w:t>
      </w:r>
      <w:proofErr w:type="gramStart"/>
      <w:r w:rsidRPr="00AF0151">
        <w:rPr>
          <w:rFonts w:ascii="仿宋" w:eastAsia="仿宋" w:hAnsi="仿宋" w:hint="eastAsia"/>
          <w:sz w:val="32"/>
          <w:szCs w:val="32"/>
        </w:rPr>
        <w:t>成体受</w:t>
      </w:r>
      <w:proofErr w:type="gramEnd"/>
      <w:r w:rsidRPr="00AF0151">
        <w:rPr>
          <w:rFonts w:ascii="仿宋" w:eastAsia="仿宋" w:hAnsi="仿宋" w:hint="eastAsia"/>
          <w:sz w:val="32"/>
          <w:szCs w:val="32"/>
        </w:rPr>
        <w:t>限于经济价值，可缩减至10尾。但在旨在证明“无疫状态”的大规模摸底排查中，单次抽样量必须达到150尾</w:t>
      </w:r>
      <w:r w:rsidRPr="00AF0151">
        <w:rPr>
          <w:rFonts w:ascii="仿宋" w:eastAsia="仿宋" w:hAnsi="仿宋"/>
          <w:sz w:val="32"/>
          <w:szCs w:val="32"/>
        </w:rPr>
        <w:t xml:space="preserve"> 。</w:t>
      </w:r>
    </w:p>
    <w:p w14:paraId="12B13E91" w14:textId="77777777" w:rsidR="00DB2B12"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（2）理论依据</w:t>
      </w:r>
    </w:p>
    <w:p w14:paraId="34B9F9B2"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这一设定的理论基础源于WOAH流行病学监测指南中的概率计算模型。假设在一个足够大（如&gt;2000尾）的网箱群体中，若要以95%的置信度检测出哪怕只有2%（即感染初期的无症状流行率阈值）的阳性个体，数学上必须随机抽取并检测至少150尾鱼。在《2024年传染性造血器官坏死病状况分析》报告中指出：部分省份（如青海、甘肃）在送检时因大规格成鱼采样困难，每</w:t>
      </w:r>
      <w:proofErr w:type="gramStart"/>
      <w:r w:rsidRPr="00AF0151">
        <w:rPr>
          <w:rFonts w:ascii="仿宋" w:eastAsia="仿宋" w:hAnsi="仿宋" w:hint="eastAsia"/>
          <w:sz w:val="32"/>
          <w:szCs w:val="32"/>
        </w:rPr>
        <w:t>批次仅送检</w:t>
      </w:r>
      <w:proofErr w:type="gramEnd"/>
      <w:r w:rsidRPr="00AF0151">
        <w:rPr>
          <w:rFonts w:ascii="仿宋" w:eastAsia="仿宋" w:hAnsi="仿宋" w:hint="eastAsia"/>
          <w:sz w:val="32"/>
          <w:szCs w:val="32"/>
        </w:rPr>
        <w:t>5尾~60尾，且总体监测批次偏低。这种样本量严重不足的抽样，直接导致了统计学上的覆盖率断层，</w:t>
      </w:r>
      <w:r w:rsidRPr="00AF0151">
        <w:rPr>
          <w:rFonts w:ascii="仿宋" w:eastAsia="仿宋" w:hAnsi="仿宋" w:hint="eastAsia"/>
          <w:sz w:val="32"/>
          <w:szCs w:val="32"/>
        </w:rPr>
        <w:lastRenderedPageBreak/>
        <w:t>极大地增加了假阴性（漏检）概率，使得上报的检出率远低于产业实际发病率。因此，本规范采取强制性条款锁定各阶段的最小样本量，旨在彻底纠正基层实践中随意抽样带来的数据失真。</w:t>
      </w:r>
    </w:p>
    <w:p w14:paraId="5DAD0445" w14:textId="77777777" w:rsidR="00610C32" w:rsidRPr="00AF0151" w:rsidRDefault="00186307" w:rsidP="00DB2B12">
      <w:pPr>
        <w:pStyle w:val="4"/>
        <w:adjustRightInd w:val="0"/>
        <w:snapToGrid w:val="0"/>
        <w:spacing w:before="100" w:beforeAutospacing="1" w:after="100" w:afterAutospacing="1"/>
        <w:jc w:val="both"/>
        <w:rPr>
          <w:rFonts w:ascii="仿宋" w:eastAsia="仿宋" w:hAnsi="仿宋"/>
          <w:b/>
          <w:bCs/>
          <w:i w:val="0"/>
          <w:iCs w:val="0"/>
          <w:color w:val="auto"/>
          <w:sz w:val="32"/>
          <w:szCs w:val="32"/>
        </w:rPr>
      </w:pPr>
      <w:bookmarkStart w:id="14" w:name="最佳采样时机与靶器官选择的生物学依据"/>
      <w:bookmarkEnd w:id="13"/>
      <w:r w:rsidRPr="00AF0151">
        <w:rPr>
          <w:rFonts w:ascii="仿宋" w:eastAsia="仿宋" w:hAnsi="仿宋"/>
          <w:b/>
          <w:bCs/>
          <w:i w:val="0"/>
          <w:iCs w:val="0"/>
          <w:color w:val="auto"/>
          <w:sz w:val="32"/>
          <w:szCs w:val="32"/>
        </w:rPr>
        <w:t xml:space="preserve">2.3 </w:t>
      </w:r>
      <w:r w:rsidRPr="00AF0151">
        <w:rPr>
          <w:rFonts w:ascii="仿宋" w:eastAsia="仿宋" w:hAnsi="仿宋" w:hint="eastAsia"/>
          <w:b/>
          <w:bCs/>
          <w:i w:val="0"/>
          <w:iCs w:val="0"/>
          <w:color w:val="auto"/>
          <w:sz w:val="32"/>
          <w:szCs w:val="32"/>
        </w:rPr>
        <w:t>最佳采样时机与靶器官选择的生物学依据</w:t>
      </w:r>
    </w:p>
    <w:p w14:paraId="5189A667" w14:textId="77777777" w:rsidR="00DB2B12" w:rsidRPr="00AF0151" w:rsidRDefault="00F40B32"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w:t>
      </w:r>
      <w:r w:rsidRPr="00AF0151">
        <w:rPr>
          <w:rFonts w:ascii="仿宋" w:eastAsia="仿宋" w:hAnsi="仿宋"/>
          <w:b/>
          <w:bCs/>
          <w:sz w:val="32"/>
          <w:szCs w:val="32"/>
        </w:rPr>
        <w:t>1</w:t>
      </w:r>
      <w:r w:rsidRPr="00AF0151">
        <w:rPr>
          <w:rFonts w:ascii="仿宋" w:eastAsia="仿宋" w:hAnsi="仿宋" w:hint="eastAsia"/>
          <w:b/>
          <w:bCs/>
          <w:sz w:val="32"/>
          <w:szCs w:val="32"/>
        </w:rPr>
        <w:t>）时机选择依据</w:t>
      </w:r>
    </w:p>
    <w:p w14:paraId="28C1A75E" w14:textId="77777777" w:rsidR="00F40B32" w:rsidRPr="00AF0151" w:rsidRDefault="00F40B32"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本标准基于致病机制研究，创造性地划定了四个强化监测的“黄金窗口期”。标准特别指出“入海适应期（淡转海后1个~3个月）”及“水温持续高于15</w:t>
      </w:r>
      <w:r w:rsidRPr="00AF0151">
        <w:rPr>
          <w:rFonts w:ascii="仿宋" w:eastAsia="仿宋" w:hAnsi="仿宋"/>
          <w:sz w:val="32"/>
          <w:szCs w:val="32"/>
        </w:rPr>
        <w:t xml:space="preserve"> </w:t>
      </w:r>
      <w:r w:rsidRPr="00AF0151">
        <w:rPr>
          <w:rFonts w:ascii="仿宋" w:eastAsia="仿宋" w:hAnsi="仿宋" w:hint="eastAsia"/>
          <w:sz w:val="32"/>
          <w:szCs w:val="32"/>
        </w:rPr>
        <w:t>℃期”为高频监测时段。依据在于，从淡水转入海水时，</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鳟鱼面临渗透压骤变的巨大应激，皮质醇水平飙升导致免疫力断崖式下降，此时原本被宿主免疫压制的潜伏性病毒（如IHNV）会迅速重新激活。而当水温超过15</w:t>
      </w:r>
      <w:r w:rsidRPr="00AF0151">
        <w:rPr>
          <w:rFonts w:ascii="仿宋" w:eastAsia="仿宋" w:hAnsi="仿宋"/>
          <w:sz w:val="32"/>
          <w:szCs w:val="32"/>
        </w:rPr>
        <w:t xml:space="preserve"> </w:t>
      </w:r>
      <w:r w:rsidRPr="00AF0151">
        <w:rPr>
          <w:rFonts w:ascii="仿宋" w:eastAsia="仿宋" w:hAnsi="仿宋" w:hint="eastAsia"/>
          <w:sz w:val="32"/>
          <w:szCs w:val="32"/>
        </w:rPr>
        <w:t>℃时，虽然VHSV等冷水病毒复制受抑，但弧菌、发光杆菌等海洋致病菌及海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的繁殖速度将呈</w:t>
      </w:r>
      <w:proofErr w:type="gramStart"/>
      <w:r w:rsidRPr="00AF0151">
        <w:rPr>
          <w:rFonts w:ascii="仿宋" w:eastAsia="仿宋" w:hAnsi="仿宋" w:hint="eastAsia"/>
          <w:sz w:val="32"/>
          <w:szCs w:val="32"/>
        </w:rPr>
        <w:t>指数级</w:t>
      </w:r>
      <w:proofErr w:type="gramEnd"/>
      <w:r w:rsidRPr="00AF0151">
        <w:rPr>
          <w:rFonts w:ascii="仿宋" w:eastAsia="仿宋" w:hAnsi="仿宋" w:hint="eastAsia"/>
          <w:sz w:val="32"/>
          <w:szCs w:val="32"/>
        </w:rPr>
        <w:t>爆发</w:t>
      </w:r>
      <w:r w:rsidRPr="00AF0151">
        <w:rPr>
          <w:rFonts w:ascii="仿宋" w:eastAsia="仿宋" w:hAnsi="仿宋"/>
          <w:sz w:val="32"/>
          <w:szCs w:val="32"/>
        </w:rPr>
        <w:t xml:space="preserve"> 。</w:t>
      </w:r>
    </w:p>
    <w:p w14:paraId="283E94D8" w14:textId="77777777" w:rsidR="00F40B32" w:rsidRPr="00AF0151" w:rsidRDefault="00F40B32"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同时，根据《日照市三文鱼养殖疫病防控体系实施方案》，标准采纳其中对不同养殖阶段需监测的病原种类（即“检测项目”）及频次要求规定如下：</w:t>
      </w:r>
    </w:p>
    <w:p w14:paraId="03E0F831" w14:textId="77777777" w:rsidR="00F40B32" w:rsidRPr="00AF0151" w:rsidRDefault="00F40B32"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sz w:val="32"/>
          <w:szCs w:val="32"/>
        </w:rPr>
        <w:t>A</w:t>
      </w:r>
      <w:r w:rsidRPr="00AF0151">
        <w:rPr>
          <w:rFonts w:ascii="仿宋" w:eastAsia="仿宋" w:hAnsi="仿宋" w:hint="eastAsia"/>
          <w:sz w:val="32"/>
          <w:szCs w:val="32"/>
        </w:rPr>
        <w:t>）入场检疫：主要是指进入养殖场或网箱或工船前，宜对苗种进行疫病病原的全面检测。检测病原种类：需全部检测1</w:t>
      </w:r>
      <w:r w:rsidRPr="00AF0151">
        <w:rPr>
          <w:rFonts w:ascii="仿宋" w:eastAsia="仿宋" w:hAnsi="仿宋"/>
          <w:sz w:val="32"/>
          <w:szCs w:val="32"/>
        </w:rPr>
        <w:t>3</w:t>
      </w:r>
      <w:r w:rsidRPr="00AF0151">
        <w:rPr>
          <w:rFonts w:ascii="仿宋" w:eastAsia="仿宋" w:hAnsi="仿宋" w:hint="eastAsia"/>
          <w:sz w:val="32"/>
          <w:szCs w:val="32"/>
        </w:rPr>
        <w:t>种疫病。（涵盖实施方案要求的9种病原）</w:t>
      </w:r>
      <w:r w:rsidR="00186307" w:rsidRPr="00AF0151">
        <w:rPr>
          <w:rFonts w:ascii="仿宋" w:eastAsia="仿宋" w:hAnsi="仿宋" w:hint="eastAsia"/>
          <w:sz w:val="32"/>
          <w:szCs w:val="32"/>
        </w:rPr>
        <w:t>。</w:t>
      </w:r>
    </w:p>
    <w:p w14:paraId="689E1B7B" w14:textId="77777777" w:rsidR="00F40B32" w:rsidRPr="00AF0151" w:rsidRDefault="00F40B32"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sz w:val="32"/>
          <w:szCs w:val="32"/>
        </w:rPr>
        <w:t>B</w:t>
      </w:r>
      <w:r w:rsidRPr="00AF0151">
        <w:rPr>
          <w:rFonts w:ascii="仿宋" w:eastAsia="仿宋" w:hAnsi="仿宋" w:hint="eastAsia"/>
          <w:sz w:val="32"/>
          <w:szCs w:val="32"/>
        </w:rPr>
        <w:t>） 养殖阶段： 指</w:t>
      </w:r>
      <w:bookmarkStart w:id="15" w:name="OLE_LINK134"/>
      <w:bookmarkStart w:id="16" w:name="OLE_LINK135"/>
      <w:r w:rsidRPr="00AF0151">
        <w:rPr>
          <w:rFonts w:ascii="仿宋" w:eastAsia="仿宋" w:hAnsi="仿宋" w:hint="eastAsia"/>
          <w:sz w:val="32"/>
          <w:szCs w:val="32"/>
        </w:rPr>
        <w:t>仔鱼、</w:t>
      </w:r>
      <w:proofErr w:type="gramStart"/>
      <w:r w:rsidRPr="00AF0151">
        <w:rPr>
          <w:rFonts w:ascii="仿宋" w:eastAsia="仿宋" w:hAnsi="仿宋" w:hint="eastAsia"/>
          <w:sz w:val="32"/>
          <w:szCs w:val="32"/>
        </w:rPr>
        <w:t>稚</w:t>
      </w:r>
      <w:proofErr w:type="gramEnd"/>
      <w:r w:rsidRPr="00AF0151">
        <w:rPr>
          <w:rFonts w:ascii="仿宋" w:eastAsia="仿宋" w:hAnsi="仿宋" w:hint="eastAsia"/>
          <w:sz w:val="32"/>
          <w:szCs w:val="32"/>
        </w:rPr>
        <w:t>鱼、</w:t>
      </w:r>
      <w:bookmarkEnd w:id="15"/>
      <w:bookmarkEnd w:id="16"/>
      <w:r w:rsidRPr="00AF0151">
        <w:rPr>
          <w:rFonts w:ascii="仿宋" w:eastAsia="仿宋" w:hAnsi="仿宋" w:hint="eastAsia"/>
          <w:sz w:val="32"/>
          <w:szCs w:val="32"/>
        </w:rPr>
        <w:t>幼鱼及成鱼养殖阶段，重点检测项目包含3种病毒病：传染性造血器官坏死病（IHN）、传染性胰脏坏死病（IPN）、病毒性出血性败血症（VHS）；2种寄生虫病：小瓜虫病、三代虫病；1种细菌病：杀</w:t>
      </w:r>
      <w:proofErr w:type="gramStart"/>
      <w:r w:rsidRPr="00AF0151">
        <w:rPr>
          <w:rFonts w:ascii="仿宋" w:eastAsia="仿宋" w:hAnsi="仿宋" w:hint="eastAsia"/>
          <w:sz w:val="32"/>
          <w:szCs w:val="32"/>
        </w:rPr>
        <w:t>鲑气单</w:t>
      </w:r>
      <w:proofErr w:type="gramEnd"/>
      <w:r w:rsidRPr="00AF0151">
        <w:rPr>
          <w:rFonts w:ascii="仿宋" w:eastAsia="仿宋" w:hAnsi="仿宋" w:hint="eastAsia"/>
          <w:sz w:val="32"/>
          <w:szCs w:val="32"/>
        </w:rPr>
        <w:t>胞菌病。其中仔鱼和</w:t>
      </w:r>
      <w:proofErr w:type="gramStart"/>
      <w:r w:rsidRPr="00AF0151">
        <w:rPr>
          <w:rFonts w:ascii="仿宋" w:eastAsia="仿宋" w:hAnsi="仿宋" w:hint="eastAsia"/>
          <w:sz w:val="32"/>
          <w:szCs w:val="32"/>
        </w:rPr>
        <w:t>稚鱼阶段</w:t>
      </w:r>
      <w:proofErr w:type="gramEnd"/>
      <w:r w:rsidRPr="00AF0151">
        <w:rPr>
          <w:rFonts w:ascii="仿宋" w:eastAsia="仿宋" w:hAnsi="仿宋" w:hint="eastAsia"/>
          <w:sz w:val="32"/>
          <w:szCs w:val="32"/>
        </w:rPr>
        <w:t>需开展1次实验室病原检测、幼鱼阶段（养殖期第3个月至第16个月）在两个体重</w:t>
      </w:r>
      <w:r w:rsidRPr="00AF0151">
        <w:rPr>
          <w:rFonts w:ascii="仿宋" w:eastAsia="仿宋" w:hAnsi="仿宋" w:hint="eastAsia"/>
          <w:sz w:val="32"/>
          <w:szCs w:val="32"/>
        </w:rPr>
        <w:lastRenderedPageBreak/>
        <w:t>时段（10克-200克和200克-2000克）各开展1次实验室检测，共2次；成鱼阶段（养殖期第16个月至销售）陆基工厂化养殖模式无需再进行疫病检测，若需从陆基转运至网箱，则必须在进入网箱前开展1次实验室病原检测。</w:t>
      </w:r>
    </w:p>
    <w:p w14:paraId="149139EB" w14:textId="77777777" w:rsidR="00F40B32" w:rsidRPr="00AF0151" w:rsidRDefault="00F40B32" w:rsidP="00DB2B12">
      <w:pPr>
        <w:pStyle w:val="FirstParagraph"/>
        <w:adjustRightInd w:val="0"/>
        <w:snapToGrid w:val="0"/>
        <w:spacing w:before="100" w:beforeAutospacing="1" w:after="100" w:afterAutospacing="1"/>
        <w:ind w:firstLineChars="200" w:firstLine="643"/>
        <w:jc w:val="both"/>
        <w:rPr>
          <w:rFonts w:ascii="仿宋" w:eastAsia="仿宋" w:hAnsi="仿宋"/>
          <w:b/>
          <w:bCs/>
          <w:sz w:val="32"/>
          <w:szCs w:val="32"/>
        </w:rPr>
      </w:pPr>
      <w:r w:rsidRPr="00AF0151">
        <w:rPr>
          <w:rFonts w:ascii="仿宋" w:eastAsia="仿宋" w:hAnsi="仿宋" w:hint="eastAsia"/>
          <w:b/>
          <w:bCs/>
          <w:sz w:val="32"/>
          <w:szCs w:val="32"/>
        </w:rPr>
        <w:t>（</w:t>
      </w:r>
      <w:r w:rsidRPr="00AF0151">
        <w:rPr>
          <w:rFonts w:ascii="仿宋" w:eastAsia="仿宋" w:hAnsi="仿宋"/>
          <w:b/>
          <w:bCs/>
          <w:sz w:val="32"/>
          <w:szCs w:val="32"/>
        </w:rPr>
        <w:t>2</w:t>
      </w:r>
      <w:r w:rsidRPr="00AF0151">
        <w:rPr>
          <w:rFonts w:ascii="仿宋" w:eastAsia="仿宋" w:hAnsi="仿宋" w:hint="eastAsia"/>
          <w:b/>
          <w:bCs/>
          <w:sz w:val="32"/>
          <w:szCs w:val="32"/>
        </w:rPr>
        <w:t>）采样器官</w:t>
      </w:r>
    </w:p>
    <w:p w14:paraId="2267A5FE"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任何病原在宿主体内的复制周期及其对组织的亲和力（组织嗜性）均不相同，盲目采样极易导致病毒载量低于仪器检测下限。</w:t>
      </w:r>
      <w:r w:rsidR="00284314" w:rsidRPr="00AF0151">
        <w:rPr>
          <w:rFonts w:ascii="仿宋" w:eastAsia="仿宋" w:hAnsi="仿宋" w:hint="eastAsia"/>
          <w:sz w:val="32"/>
          <w:szCs w:val="32"/>
        </w:rPr>
        <w:t>充分按</w:t>
      </w:r>
      <w:r w:rsidR="00284314" w:rsidRPr="00AF0151">
        <w:rPr>
          <w:rFonts w:ascii="MS Gothic" w:eastAsia="MS Gothic" w:hAnsi="MS Gothic" w:cs="MS Gothic" w:hint="eastAsia"/>
          <w:sz w:val="32"/>
          <w:szCs w:val="32"/>
        </w:rPr>
        <w:t> </w:t>
      </w:r>
      <w:bookmarkStart w:id="17" w:name="OLE_LINK144"/>
      <w:bookmarkStart w:id="18" w:name="OLE_LINK145"/>
      <w:r w:rsidR="00284314" w:rsidRPr="00AF0151">
        <w:rPr>
          <w:rFonts w:ascii="仿宋" w:eastAsia="仿宋" w:hAnsi="仿宋"/>
          <w:sz w:val="32"/>
          <w:szCs w:val="32"/>
        </w:rPr>
        <w:t xml:space="preserve">GB/T </w:t>
      </w:r>
      <w:r w:rsidR="00284314" w:rsidRPr="00AF0151">
        <w:rPr>
          <w:rFonts w:ascii="仿宋" w:eastAsia="仿宋" w:hAnsi="仿宋" w:hint="eastAsia"/>
          <w:sz w:val="32"/>
          <w:szCs w:val="32"/>
        </w:rPr>
        <w:t>18088、</w:t>
      </w:r>
      <w:bookmarkStart w:id="19" w:name="OLE_LINK42"/>
      <w:bookmarkStart w:id="20" w:name="OLE_LINK43"/>
      <w:r w:rsidR="00284314" w:rsidRPr="00AF0151">
        <w:rPr>
          <w:rFonts w:ascii="仿宋" w:eastAsia="仿宋" w:hAnsi="仿宋"/>
          <w:sz w:val="32"/>
          <w:szCs w:val="32"/>
        </w:rPr>
        <w:t>GB/T 15805</w:t>
      </w:r>
      <w:bookmarkEnd w:id="19"/>
      <w:bookmarkEnd w:id="20"/>
      <w:r w:rsidR="00284314" w:rsidRPr="00AF0151">
        <w:rPr>
          <w:rFonts w:ascii="MS Gothic" w:eastAsia="MS Gothic" w:hAnsi="MS Gothic" w:cs="MS Gothic" w:hint="eastAsia"/>
          <w:sz w:val="32"/>
          <w:szCs w:val="32"/>
        </w:rPr>
        <w:t> </w:t>
      </w:r>
      <w:r w:rsidR="00284314" w:rsidRPr="00AF0151">
        <w:rPr>
          <w:rFonts w:ascii="仿宋" w:eastAsia="仿宋" w:hAnsi="仿宋" w:hint="eastAsia"/>
          <w:sz w:val="32"/>
          <w:szCs w:val="32"/>
        </w:rPr>
        <w:t>、</w:t>
      </w:r>
      <w:r w:rsidR="00284314" w:rsidRPr="00AF0151">
        <w:rPr>
          <w:rFonts w:ascii="仿宋" w:eastAsia="仿宋" w:hAnsi="仿宋"/>
          <w:sz w:val="32"/>
          <w:szCs w:val="32"/>
        </w:rPr>
        <w:t>GB/T 34734-2017</w:t>
      </w:r>
      <w:r w:rsidR="00284314" w:rsidRPr="00AF0151">
        <w:rPr>
          <w:rFonts w:ascii="仿宋" w:eastAsia="仿宋" w:hAnsi="仿宋" w:hint="eastAsia"/>
          <w:sz w:val="32"/>
          <w:szCs w:val="32"/>
        </w:rPr>
        <w:t>、</w:t>
      </w:r>
      <w:r w:rsidR="00284314" w:rsidRPr="00AF0151">
        <w:rPr>
          <w:rFonts w:ascii="仿宋" w:eastAsia="仿宋" w:hAnsi="仿宋"/>
          <w:sz w:val="32"/>
          <w:szCs w:val="32"/>
        </w:rPr>
        <w:t>GB/T 47226</w:t>
      </w:r>
      <w:r w:rsidR="00284314" w:rsidRPr="00AF0151">
        <w:rPr>
          <w:rFonts w:ascii="仿宋" w:eastAsia="仿宋" w:hAnsi="仿宋" w:hint="eastAsia"/>
          <w:sz w:val="32"/>
          <w:szCs w:val="32"/>
        </w:rPr>
        <w:t>—</w:t>
      </w:r>
      <w:r w:rsidR="00284314" w:rsidRPr="00AF0151">
        <w:rPr>
          <w:rFonts w:ascii="仿宋" w:eastAsia="仿宋" w:hAnsi="仿宋"/>
          <w:sz w:val="32"/>
          <w:szCs w:val="32"/>
        </w:rPr>
        <w:t>2026</w:t>
      </w:r>
      <w:r w:rsidR="00284314" w:rsidRPr="00AF0151">
        <w:rPr>
          <w:rFonts w:ascii="仿宋" w:eastAsia="仿宋" w:hAnsi="仿宋" w:hint="eastAsia"/>
          <w:sz w:val="32"/>
          <w:szCs w:val="32"/>
        </w:rPr>
        <w:t>、</w:t>
      </w:r>
      <w:r w:rsidR="00284314" w:rsidRPr="00AF0151">
        <w:rPr>
          <w:rFonts w:ascii="仿宋" w:eastAsia="仿宋" w:hAnsi="仿宋"/>
          <w:sz w:val="32"/>
          <w:szCs w:val="32"/>
        </w:rPr>
        <w:t>GB/T 47228</w:t>
      </w:r>
      <w:bookmarkStart w:id="21" w:name="OLE_LINK22"/>
      <w:bookmarkStart w:id="22" w:name="OLE_LINK23"/>
      <w:r w:rsidR="00284314" w:rsidRPr="00AF0151">
        <w:rPr>
          <w:rFonts w:ascii="仿宋" w:eastAsia="仿宋" w:hAnsi="仿宋" w:hint="eastAsia"/>
          <w:sz w:val="32"/>
          <w:szCs w:val="32"/>
        </w:rPr>
        <w:t>—</w:t>
      </w:r>
      <w:bookmarkEnd w:id="21"/>
      <w:bookmarkEnd w:id="22"/>
      <w:r w:rsidR="00284314" w:rsidRPr="00AF0151">
        <w:rPr>
          <w:rFonts w:ascii="仿宋" w:eastAsia="仿宋" w:hAnsi="仿宋"/>
          <w:sz w:val="32"/>
          <w:szCs w:val="32"/>
        </w:rPr>
        <w:t>2026</w:t>
      </w:r>
      <w:r w:rsidR="00284314" w:rsidRPr="00AF0151">
        <w:rPr>
          <w:rFonts w:ascii="仿宋" w:eastAsia="仿宋" w:hAnsi="仿宋" w:hint="eastAsia"/>
          <w:sz w:val="32"/>
          <w:szCs w:val="32"/>
        </w:rPr>
        <w:t>、</w:t>
      </w:r>
      <w:r w:rsidR="00284314" w:rsidRPr="00AF0151">
        <w:rPr>
          <w:rFonts w:ascii="仿宋" w:eastAsia="仿宋" w:hAnsi="仿宋"/>
          <w:sz w:val="32"/>
          <w:szCs w:val="32"/>
        </w:rPr>
        <w:t>SC/T 7219.1</w:t>
      </w:r>
      <w:r w:rsidR="00284314" w:rsidRPr="00AF0151">
        <w:rPr>
          <w:rFonts w:ascii="仿宋" w:eastAsia="仿宋" w:hAnsi="仿宋" w:hint="eastAsia"/>
          <w:sz w:val="32"/>
          <w:szCs w:val="32"/>
        </w:rPr>
        <w:t>—</w:t>
      </w:r>
      <w:r w:rsidR="00284314" w:rsidRPr="00AF0151">
        <w:rPr>
          <w:rFonts w:ascii="仿宋" w:eastAsia="仿宋" w:hAnsi="仿宋"/>
          <w:sz w:val="32"/>
          <w:szCs w:val="32"/>
        </w:rPr>
        <w:t>2015</w:t>
      </w:r>
      <w:r w:rsidR="00284314" w:rsidRPr="00AF0151">
        <w:rPr>
          <w:rFonts w:ascii="仿宋" w:eastAsia="仿宋" w:hAnsi="仿宋" w:hint="eastAsia"/>
          <w:sz w:val="32"/>
          <w:szCs w:val="32"/>
        </w:rPr>
        <w:t>、</w:t>
      </w:r>
      <w:r w:rsidR="00284314" w:rsidRPr="00AF0151">
        <w:rPr>
          <w:rFonts w:ascii="仿宋" w:eastAsia="仿宋" w:hAnsi="仿宋"/>
          <w:sz w:val="32"/>
          <w:szCs w:val="32"/>
        </w:rPr>
        <w:t>SC/T 7226</w:t>
      </w:r>
      <w:r w:rsidR="00284314" w:rsidRPr="00AF0151">
        <w:rPr>
          <w:rFonts w:ascii="仿宋" w:eastAsia="仿宋" w:hAnsi="仿宋" w:hint="eastAsia"/>
          <w:sz w:val="32"/>
          <w:szCs w:val="32"/>
        </w:rPr>
        <w:t>—</w:t>
      </w:r>
      <w:r w:rsidR="00284314" w:rsidRPr="00AF0151">
        <w:rPr>
          <w:rFonts w:ascii="仿宋" w:eastAsia="仿宋" w:hAnsi="仿宋"/>
          <w:sz w:val="32"/>
          <w:szCs w:val="32"/>
        </w:rPr>
        <w:t>2017</w:t>
      </w:r>
      <w:r w:rsidR="00284314" w:rsidRPr="00AF0151">
        <w:rPr>
          <w:rFonts w:ascii="仿宋" w:eastAsia="仿宋" w:hAnsi="仿宋" w:hint="eastAsia"/>
          <w:sz w:val="32"/>
          <w:szCs w:val="32"/>
        </w:rPr>
        <w:t>、</w:t>
      </w:r>
      <w:r w:rsidR="00284314" w:rsidRPr="00AF0151">
        <w:rPr>
          <w:rFonts w:ascii="仿宋" w:eastAsia="仿宋" w:hAnsi="仿宋"/>
          <w:sz w:val="32"/>
          <w:szCs w:val="32"/>
        </w:rPr>
        <w:t>SC/T 7215</w:t>
      </w:r>
      <w:r w:rsidR="00284314" w:rsidRPr="00AF0151">
        <w:rPr>
          <w:rFonts w:ascii="仿宋" w:eastAsia="仿宋" w:hAnsi="仿宋" w:hint="eastAsia"/>
          <w:sz w:val="32"/>
          <w:szCs w:val="32"/>
        </w:rPr>
        <w:t>—</w:t>
      </w:r>
      <w:r w:rsidR="00284314" w:rsidRPr="00AF0151">
        <w:rPr>
          <w:rFonts w:ascii="仿宋" w:eastAsia="仿宋" w:hAnsi="仿宋"/>
          <w:sz w:val="32"/>
          <w:szCs w:val="32"/>
        </w:rPr>
        <w:t>2021</w:t>
      </w:r>
      <w:r w:rsidR="00284314" w:rsidRPr="00AF0151">
        <w:rPr>
          <w:rFonts w:ascii="仿宋" w:eastAsia="仿宋" w:hAnsi="仿宋" w:hint="eastAsia"/>
          <w:sz w:val="32"/>
          <w:szCs w:val="32"/>
        </w:rPr>
        <w:t>、</w:t>
      </w:r>
      <w:r w:rsidR="00284314" w:rsidRPr="00AF0151">
        <w:rPr>
          <w:rFonts w:ascii="仿宋" w:eastAsia="仿宋" w:hAnsi="仿宋"/>
          <w:sz w:val="32"/>
          <w:szCs w:val="32"/>
        </w:rPr>
        <w:t>SC/T 7245</w:t>
      </w:r>
      <w:r w:rsidR="00284314" w:rsidRPr="00AF0151">
        <w:rPr>
          <w:rFonts w:ascii="仿宋" w:eastAsia="仿宋" w:hAnsi="仿宋" w:hint="eastAsia"/>
          <w:sz w:val="32"/>
          <w:szCs w:val="32"/>
        </w:rPr>
        <w:t>—</w:t>
      </w:r>
      <w:r w:rsidR="00284314" w:rsidRPr="00AF0151">
        <w:rPr>
          <w:rFonts w:ascii="仿宋" w:eastAsia="仿宋" w:hAnsi="仿宋"/>
          <w:sz w:val="32"/>
          <w:szCs w:val="32"/>
        </w:rPr>
        <w:t>2025</w:t>
      </w:r>
      <w:r w:rsidR="00284314" w:rsidRPr="00AF0151">
        <w:rPr>
          <w:rFonts w:ascii="仿宋" w:eastAsia="仿宋" w:hAnsi="仿宋" w:hint="eastAsia"/>
          <w:sz w:val="32"/>
          <w:szCs w:val="32"/>
        </w:rPr>
        <w:t>、</w:t>
      </w:r>
      <w:r w:rsidR="00284314" w:rsidRPr="00AF0151">
        <w:rPr>
          <w:rFonts w:ascii="仿宋" w:eastAsia="仿宋" w:hAnsi="仿宋"/>
          <w:sz w:val="32"/>
          <w:szCs w:val="32"/>
        </w:rPr>
        <w:t>SN/T 2976</w:t>
      </w:r>
      <w:r w:rsidR="00284314" w:rsidRPr="00AF0151">
        <w:rPr>
          <w:rFonts w:ascii="仿宋" w:eastAsia="仿宋" w:hAnsi="仿宋" w:hint="eastAsia"/>
          <w:sz w:val="32"/>
          <w:szCs w:val="32"/>
        </w:rPr>
        <w:t>—</w:t>
      </w:r>
      <w:r w:rsidR="00284314" w:rsidRPr="00AF0151">
        <w:rPr>
          <w:rFonts w:ascii="仿宋" w:eastAsia="仿宋" w:hAnsi="仿宋"/>
          <w:sz w:val="32"/>
          <w:szCs w:val="32"/>
        </w:rPr>
        <w:t>2011</w:t>
      </w:r>
      <w:r w:rsidR="00284314" w:rsidRPr="00AF0151">
        <w:rPr>
          <w:rFonts w:ascii="仿宋" w:eastAsia="仿宋" w:hAnsi="仿宋" w:hint="eastAsia"/>
          <w:sz w:val="32"/>
          <w:szCs w:val="32"/>
        </w:rPr>
        <w:t>和</w:t>
      </w:r>
      <w:r w:rsidR="00284314" w:rsidRPr="00AF0151">
        <w:rPr>
          <w:rFonts w:ascii="仿宋" w:eastAsia="仿宋" w:hAnsi="仿宋"/>
          <w:sz w:val="32"/>
          <w:szCs w:val="32"/>
        </w:rPr>
        <w:t>SN/T 2734</w:t>
      </w:r>
      <w:r w:rsidR="00284314" w:rsidRPr="00AF0151">
        <w:rPr>
          <w:rFonts w:ascii="仿宋" w:eastAsia="仿宋" w:hAnsi="仿宋" w:hint="eastAsia"/>
          <w:sz w:val="32"/>
          <w:szCs w:val="32"/>
        </w:rPr>
        <w:t>—</w:t>
      </w:r>
      <w:r w:rsidR="00284314" w:rsidRPr="00AF0151">
        <w:rPr>
          <w:rFonts w:ascii="仿宋" w:eastAsia="仿宋" w:hAnsi="仿宋"/>
          <w:sz w:val="32"/>
          <w:szCs w:val="32"/>
        </w:rPr>
        <w:t>2020</w:t>
      </w:r>
      <w:r w:rsidR="00284314" w:rsidRPr="00AF0151">
        <w:rPr>
          <w:rFonts w:ascii="仿宋" w:eastAsia="仿宋" w:hAnsi="仿宋" w:hint="eastAsia"/>
          <w:sz w:val="32"/>
          <w:szCs w:val="32"/>
        </w:rPr>
        <w:t>中规定执行，同时参考</w:t>
      </w:r>
      <w:r w:rsidR="00284314" w:rsidRPr="00AF0151">
        <w:rPr>
          <w:rFonts w:ascii="仿宋" w:eastAsia="仿宋" w:hAnsi="仿宋"/>
          <w:sz w:val="32"/>
          <w:szCs w:val="32"/>
        </w:rPr>
        <w:t>WOAH</w:t>
      </w:r>
      <w:r w:rsidR="00284314" w:rsidRPr="00AF0151">
        <w:rPr>
          <w:rFonts w:ascii="仿宋" w:eastAsia="仿宋" w:hAnsi="仿宋" w:hint="eastAsia"/>
          <w:sz w:val="32"/>
          <w:szCs w:val="32"/>
        </w:rPr>
        <w:t>《水生动物疫病诊断手册》及公开发表文献。</w:t>
      </w:r>
      <w:bookmarkEnd w:id="17"/>
      <w:bookmarkEnd w:id="18"/>
      <w:r w:rsidRPr="00AF0151">
        <w:rPr>
          <w:rFonts w:ascii="仿宋" w:eastAsia="仿宋" w:hAnsi="仿宋" w:hint="eastAsia"/>
          <w:sz w:val="32"/>
          <w:szCs w:val="32"/>
        </w:rPr>
        <w:t>其病原特性与靶器官监测矩阵的确立依据见表2</w:t>
      </w:r>
      <w:r w:rsidRPr="00AF0151">
        <w:rPr>
          <w:rFonts w:ascii="仿宋" w:eastAsia="仿宋" w:hAnsi="仿宋"/>
          <w:sz w:val="32"/>
          <w:szCs w:val="32"/>
        </w:rPr>
        <w:t>-</w:t>
      </w:r>
      <w:r w:rsidRPr="00AF0151">
        <w:rPr>
          <w:rFonts w:ascii="仿宋" w:eastAsia="仿宋" w:hAnsi="仿宋" w:hint="eastAsia"/>
          <w:sz w:val="32"/>
          <w:szCs w:val="32"/>
        </w:rPr>
        <w:t xml:space="preserve">1 </w:t>
      </w:r>
      <w:r w:rsidRPr="00AF0151">
        <w:rPr>
          <w:rFonts w:ascii="仿宋" w:eastAsia="仿宋" w:hAnsi="仿宋"/>
          <w:sz w:val="32"/>
          <w:szCs w:val="32"/>
        </w:rPr>
        <w:t xml:space="preserve"> </w:t>
      </w:r>
      <w:r w:rsidRPr="00AF0151">
        <w:rPr>
          <w:rFonts w:ascii="仿宋" w:eastAsia="仿宋" w:hAnsi="仿宋" w:hint="eastAsia"/>
          <w:sz w:val="32"/>
          <w:szCs w:val="32"/>
        </w:rPr>
        <w:t>所示。</w:t>
      </w:r>
    </w:p>
    <w:p w14:paraId="7D57CEE5" w14:textId="77777777" w:rsidR="00284314" w:rsidRPr="00AF0151" w:rsidRDefault="00186307" w:rsidP="00DB2B12">
      <w:pPr>
        <w:pStyle w:val="a1"/>
        <w:adjustRightInd w:val="0"/>
        <w:snapToGrid w:val="0"/>
        <w:spacing w:before="100" w:beforeAutospacing="1" w:after="100" w:afterAutospacing="1"/>
        <w:jc w:val="center"/>
        <w:rPr>
          <w:rFonts w:ascii="仿宋" w:eastAsia="仿宋" w:hAnsi="仿宋"/>
          <w:sz w:val="32"/>
          <w:szCs w:val="32"/>
        </w:rPr>
      </w:pPr>
      <w:bookmarkStart w:id="23" w:name="OLE_LINK146"/>
      <w:r w:rsidRPr="00AF0151">
        <w:rPr>
          <w:rFonts w:ascii="仿宋" w:eastAsia="仿宋" w:hAnsi="仿宋" w:hint="eastAsia"/>
          <w:sz w:val="32"/>
          <w:szCs w:val="32"/>
        </w:rPr>
        <w:t>表2</w:t>
      </w:r>
      <w:r w:rsidRPr="00AF0151">
        <w:rPr>
          <w:rFonts w:ascii="仿宋" w:eastAsia="仿宋" w:hAnsi="仿宋"/>
          <w:sz w:val="32"/>
          <w:szCs w:val="32"/>
        </w:rPr>
        <w:t>-</w:t>
      </w:r>
      <w:r w:rsidRPr="00AF0151">
        <w:rPr>
          <w:rFonts w:ascii="仿宋" w:eastAsia="仿宋" w:hAnsi="仿宋" w:hint="eastAsia"/>
          <w:sz w:val="32"/>
          <w:szCs w:val="32"/>
        </w:rPr>
        <w:t>1</w:t>
      </w:r>
      <w:r w:rsidRPr="00AF0151">
        <w:rPr>
          <w:rFonts w:ascii="仿宋" w:eastAsia="仿宋" w:hAnsi="仿宋"/>
          <w:sz w:val="32"/>
          <w:szCs w:val="32"/>
        </w:rPr>
        <w:t xml:space="preserve"> </w:t>
      </w:r>
      <w:r w:rsidRPr="00AF0151">
        <w:rPr>
          <w:rFonts w:ascii="仿宋" w:eastAsia="仿宋" w:hAnsi="仿宋" w:hint="eastAsia"/>
          <w:sz w:val="32"/>
          <w:szCs w:val="32"/>
        </w:rPr>
        <w:t>病原特性与靶器官监测矩阵确立依据</w:t>
      </w:r>
      <w:bookmarkStart w:id="24" w:name="OLE_LINK73"/>
      <w:bookmarkStart w:id="25" w:name="OLE_LINK74"/>
      <w:bookmarkEnd w:id="23"/>
    </w:p>
    <w:tbl>
      <w:tblPr>
        <w:tblStyle w:val="aff1"/>
        <w:tblW w:w="0" w:type="auto"/>
        <w:jc w:val="center"/>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578"/>
        <w:gridCol w:w="2600"/>
        <w:gridCol w:w="1567"/>
        <w:gridCol w:w="1383"/>
        <w:gridCol w:w="2492"/>
      </w:tblGrid>
      <w:tr w:rsidR="0033345F" w:rsidRPr="00AF0151" w14:paraId="4277500D" w14:textId="77777777" w:rsidTr="00284314">
        <w:trPr>
          <w:tblHeader/>
          <w:jc w:val="center"/>
        </w:trPr>
        <w:tc>
          <w:tcPr>
            <w:tcW w:w="604" w:type="dxa"/>
            <w:tcBorders>
              <w:top w:val="single" w:sz="8" w:space="0" w:color="auto"/>
              <w:bottom w:val="single" w:sz="8" w:space="0" w:color="auto"/>
            </w:tcBorders>
            <w:vAlign w:val="center"/>
          </w:tcPr>
          <w:bookmarkEnd w:id="24"/>
          <w:bookmarkEnd w:id="25"/>
          <w:p w14:paraId="2CA92E4A" w14:textId="77777777" w:rsidR="00284314" w:rsidRPr="00AF0151" w:rsidRDefault="00284314" w:rsidP="00DB2B12">
            <w:pPr>
              <w:pStyle w:val="aff0"/>
              <w:spacing w:before="100" w:beforeAutospacing="1" w:after="100" w:afterAutospacing="1"/>
              <w:rPr>
                <w:rFonts w:ascii="仿宋" w:eastAsia="仿宋" w:hAnsi="仿宋"/>
                <w:sz w:val="32"/>
                <w:szCs w:val="32"/>
              </w:rPr>
            </w:pPr>
            <w:r w:rsidRPr="00AF0151">
              <w:rPr>
                <w:rFonts w:ascii="仿宋" w:eastAsia="仿宋" w:hAnsi="仿宋"/>
                <w:sz w:val="32"/>
                <w:szCs w:val="32"/>
              </w:rPr>
              <w:t>疫病类别</w:t>
            </w:r>
          </w:p>
        </w:tc>
        <w:tc>
          <w:tcPr>
            <w:tcW w:w="1550" w:type="dxa"/>
            <w:tcBorders>
              <w:top w:val="single" w:sz="8" w:space="0" w:color="auto"/>
              <w:bottom w:val="single" w:sz="8" w:space="0" w:color="auto"/>
            </w:tcBorders>
            <w:vAlign w:val="center"/>
          </w:tcPr>
          <w:p w14:paraId="7161938A" w14:textId="77777777" w:rsidR="00284314" w:rsidRPr="00AF0151" w:rsidRDefault="00284314" w:rsidP="00DB2B12">
            <w:pPr>
              <w:pStyle w:val="aff0"/>
              <w:spacing w:before="100" w:beforeAutospacing="1" w:after="100" w:afterAutospacing="1"/>
              <w:rPr>
                <w:rFonts w:ascii="仿宋" w:eastAsia="仿宋" w:hAnsi="仿宋"/>
                <w:sz w:val="32"/>
                <w:szCs w:val="32"/>
              </w:rPr>
            </w:pPr>
            <w:r w:rsidRPr="00AF0151">
              <w:rPr>
                <w:rFonts w:ascii="仿宋" w:eastAsia="仿宋" w:hAnsi="仿宋"/>
                <w:sz w:val="32"/>
                <w:szCs w:val="32"/>
              </w:rPr>
              <w:t>目标病原</w:t>
            </w:r>
          </w:p>
        </w:tc>
        <w:tc>
          <w:tcPr>
            <w:tcW w:w="1749" w:type="dxa"/>
            <w:tcBorders>
              <w:top w:val="single" w:sz="8" w:space="0" w:color="auto"/>
              <w:bottom w:val="single" w:sz="8" w:space="0" w:color="auto"/>
            </w:tcBorders>
            <w:vAlign w:val="center"/>
          </w:tcPr>
          <w:p w14:paraId="4765F9FC" w14:textId="77777777" w:rsidR="00284314" w:rsidRPr="00AF0151" w:rsidRDefault="00284314" w:rsidP="00DB2B12">
            <w:pPr>
              <w:pStyle w:val="aff0"/>
              <w:spacing w:before="100" w:beforeAutospacing="1" w:after="100" w:afterAutospacing="1"/>
              <w:rPr>
                <w:rFonts w:ascii="仿宋" w:eastAsia="仿宋" w:hAnsi="仿宋"/>
                <w:sz w:val="32"/>
                <w:szCs w:val="32"/>
              </w:rPr>
            </w:pPr>
            <w:r w:rsidRPr="00AF0151">
              <w:rPr>
                <w:rFonts w:ascii="仿宋" w:eastAsia="仿宋" w:hAnsi="仿宋"/>
                <w:sz w:val="32"/>
                <w:szCs w:val="32"/>
              </w:rPr>
              <w:t>首选采样器官</w:t>
            </w:r>
          </w:p>
        </w:tc>
        <w:tc>
          <w:tcPr>
            <w:tcW w:w="1627" w:type="dxa"/>
            <w:tcBorders>
              <w:top w:val="single" w:sz="8" w:space="0" w:color="auto"/>
              <w:bottom w:val="single" w:sz="8" w:space="0" w:color="auto"/>
            </w:tcBorders>
            <w:vAlign w:val="center"/>
          </w:tcPr>
          <w:p w14:paraId="2E342545" w14:textId="77777777" w:rsidR="00284314" w:rsidRPr="00AF0151" w:rsidRDefault="00284314" w:rsidP="00DB2B12">
            <w:pPr>
              <w:pStyle w:val="aff0"/>
              <w:spacing w:before="100" w:beforeAutospacing="1" w:after="100" w:afterAutospacing="1"/>
              <w:rPr>
                <w:rFonts w:ascii="仿宋" w:eastAsia="仿宋" w:hAnsi="仿宋"/>
                <w:sz w:val="32"/>
                <w:szCs w:val="32"/>
              </w:rPr>
            </w:pPr>
            <w:r w:rsidRPr="00AF0151">
              <w:rPr>
                <w:rFonts w:ascii="仿宋" w:eastAsia="仿宋" w:hAnsi="仿宋"/>
                <w:sz w:val="32"/>
                <w:szCs w:val="32"/>
              </w:rPr>
              <w:t>备选器官/样品</w:t>
            </w:r>
          </w:p>
        </w:tc>
        <w:tc>
          <w:tcPr>
            <w:tcW w:w="3090" w:type="dxa"/>
            <w:tcBorders>
              <w:top w:val="single" w:sz="8" w:space="0" w:color="auto"/>
              <w:bottom w:val="single" w:sz="8" w:space="0" w:color="auto"/>
            </w:tcBorders>
            <w:vAlign w:val="center"/>
          </w:tcPr>
          <w:p w14:paraId="2186910C" w14:textId="77777777" w:rsidR="00284314" w:rsidRPr="00AF0151" w:rsidRDefault="00284314" w:rsidP="00DB2B12">
            <w:pPr>
              <w:pStyle w:val="aff0"/>
              <w:spacing w:before="100" w:beforeAutospacing="1" w:after="100" w:afterAutospacing="1"/>
              <w:rPr>
                <w:rFonts w:ascii="仿宋" w:eastAsia="仿宋" w:hAnsi="仿宋"/>
                <w:sz w:val="32"/>
                <w:szCs w:val="32"/>
              </w:rPr>
            </w:pPr>
            <w:r w:rsidRPr="00AF0151">
              <w:rPr>
                <w:rFonts w:ascii="仿宋" w:eastAsia="仿宋" w:hAnsi="仿宋"/>
                <w:sz w:val="32"/>
                <w:szCs w:val="32"/>
              </w:rPr>
              <w:t>采样技术要点与备注</w:t>
            </w:r>
          </w:p>
        </w:tc>
      </w:tr>
      <w:tr w:rsidR="00DB2B12" w:rsidRPr="00AF0151" w14:paraId="4C7761F1" w14:textId="77777777" w:rsidTr="0033345F">
        <w:trPr>
          <w:jc w:val="center"/>
        </w:trPr>
        <w:tc>
          <w:tcPr>
            <w:tcW w:w="604" w:type="dxa"/>
            <w:vMerge w:val="restart"/>
            <w:tcBorders>
              <w:top w:val="single" w:sz="8" w:space="0" w:color="auto"/>
            </w:tcBorders>
            <w:vAlign w:val="center"/>
          </w:tcPr>
          <w:p w14:paraId="7646E2A1" w14:textId="77777777" w:rsidR="00DB2B12" w:rsidRPr="00AF0151" w:rsidRDefault="00DB2B12" w:rsidP="00DB2B12">
            <w:pPr>
              <w:pStyle w:val="aff0"/>
              <w:spacing w:before="100" w:beforeAutospacing="1" w:after="100" w:afterAutospacing="1"/>
              <w:jc w:val="both"/>
              <w:rPr>
                <w:rFonts w:ascii="仿宋" w:eastAsia="仿宋" w:hAnsi="仿宋"/>
                <w:sz w:val="32"/>
                <w:szCs w:val="32"/>
              </w:rPr>
            </w:pPr>
            <w:bookmarkStart w:id="26" w:name="_Hlk227078864"/>
            <w:r w:rsidRPr="00AF0151">
              <w:rPr>
                <w:rFonts w:ascii="仿宋" w:eastAsia="仿宋" w:hAnsi="仿宋" w:hint="eastAsia"/>
                <w:sz w:val="32"/>
                <w:szCs w:val="32"/>
              </w:rPr>
              <w:t>病毒</w:t>
            </w:r>
            <w:r w:rsidRPr="00AF0151">
              <w:rPr>
                <w:rFonts w:ascii="仿宋" w:eastAsia="仿宋" w:hAnsi="仿宋"/>
                <w:sz w:val="32"/>
                <w:szCs w:val="32"/>
              </w:rPr>
              <w:t>性</w:t>
            </w:r>
          </w:p>
        </w:tc>
        <w:tc>
          <w:tcPr>
            <w:tcW w:w="1550" w:type="dxa"/>
            <w:tcBorders>
              <w:top w:val="single" w:sz="8" w:space="0" w:color="auto"/>
            </w:tcBorders>
            <w:vAlign w:val="center"/>
          </w:tcPr>
          <w:p w14:paraId="18712783"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IHNV</w:t>
            </w:r>
          </w:p>
        </w:tc>
        <w:tc>
          <w:tcPr>
            <w:tcW w:w="1749" w:type="dxa"/>
            <w:tcBorders>
              <w:top w:val="single" w:sz="8" w:space="0" w:color="auto"/>
            </w:tcBorders>
            <w:vAlign w:val="center"/>
          </w:tcPr>
          <w:p w14:paraId="48058B28"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前肾，中肾，脾脏</w:t>
            </w:r>
          </w:p>
        </w:tc>
        <w:tc>
          <w:tcPr>
            <w:tcW w:w="1627" w:type="dxa"/>
            <w:tcBorders>
              <w:top w:val="single" w:sz="8" w:space="0" w:color="auto"/>
            </w:tcBorders>
            <w:vAlign w:val="center"/>
          </w:tcPr>
          <w:p w14:paraId="17B84AB6"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脑，心脏，鳃丝</w:t>
            </w:r>
          </w:p>
        </w:tc>
        <w:tc>
          <w:tcPr>
            <w:tcW w:w="3090" w:type="dxa"/>
            <w:tcBorders>
              <w:top w:val="single" w:sz="8" w:space="0" w:color="auto"/>
            </w:tcBorders>
            <w:vAlign w:val="center"/>
          </w:tcPr>
          <w:p w14:paraId="1416DF0B" w14:textId="77777777" w:rsidR="00DB2B12" w:rsidRPr="00AF0151" w:rsidRDefault="00DB2B12" w:rsidP="00DB2B12">
            <w:pPr>
              <w:pStyle w:val="aff0"/>
              <w:spacing w:before="100" w:beforeAutospacing="1" w:after="100" w:afterAutospacing="1"/>
              <w:ind w:firstLineChars="100" w:firstLine="320"/>
              <w:jc w:val="left"/>
              <w:rPr>
                <w:rFonts w:ascii="仿宋" w:eastAsia="仿宋" w:hAnsi="仿宋"/>
                <w:sz w:val="32"/>
                <w:szCs w:val="32"/>
              </w:rPr>
            </w:pPr>
            <w:r w:rsidRPr="00AF0151">
              <w:rPr>
                <w:rFonts w:ascii="仿宋" w:eastAsia="仿宋" w:hAnsi="仿宋"/>
                <w:sz w:val="32"/>
                <w:szCs w:val="32"/>
              </w:rPr>
              <w:t>病毒血症期病毒广泛分布，肾脏载量最高。稚鱼</w:t>
            </w:r>
            <w:r w:rsidRPr="00AF0151">
              <w:rPr>
                <w:rFonts w:ascii="仿宋" w:eastAsia="仿宋" w:hAnsi="仿宋" w:hint="eastAsia"/>
                <w:sz w:val="32"/>
                <w:szCs w:val="32"/>
              </w:rPr>
              <w:t>（</w:t>
            </w:r>
            <w:r w:rsidRPr="00AF0151">
              <w:rPr>
                <w:rFonts w:ascii="仿宋" w:eastAsia="仿宋" w:hAnsi="仿宋"/>
                <w:sz w:val="32"/>
                <w:szCs w:val="32"/>
              </w:rPr>
              <w:t>&lt;4 cm</w:t>
            </w:r>
            <w:r w:rsidRPr="00AF0151">
              <w:rPr>
                <w:rFonts w:ascii="仿宋" w:eastAsia="仿宋" w:hAnsi="仿宋" w:hint="eastAsia"/>
                <w:sz w:val="32"/>
                <w:szCs w:val="32"/>
              </w:rPr>
              <w:t>）</w:t>
            </w:r>
            <w:r w:rsidRPr="00AF0151">
              <w:rPr>
                <w:rFonts w:ascii="仿宋" w:eastAsia="仿宋" w:hAnsi="仿宋"/>
                <w:sz w:val="32"/>
                <w:szCs w:val="32"/>
              </w:rPr>
              <w:t>可切除尾部后整条采样。</w:t>
            </w:r>
          </w:p>
        </w:tc>
      </w:tr>
      <w:bookmarkEnd w:id="26"/>
      <w:tr w:rsidR="00DB2B12" w:rsidRPr="00AF0151" w14:paraId="2E652B57" w14:textId="77777777" w:rsidTr="00284314">
        <w:trPr>
          <w:trHeight w:val="612"/>
          <w:jc w:val="center"/>
        </w:trPr>
        <w:tc>
          <w:tcPr>
            <w:tcW w:w="604" w:type="dxa"/>
            <w:vMerge/>
            <w:vAlign w:val="center"/>
          </w:tcPr>
          <w:p w14:paraId="1AF53631" w14:textId="77777777" w:rsidR="00DB2B12" w:rsidRPr="00AF0151" w:rsidRDefault="00DB2B12" w:rsidP="00DB2B12">
            <w:pPr>
              <w:pStyle w:val="aff0"/>
              <w:spacing w:before="100" w:beforeAutospacing="1" w:after="100" w:afterAutospacing="1"/>
              <w:rPr>
                <w:rFonts w:ascii="仿宋" w:eastAsia="仿宋" w:hAnsi="仿宋"/>
                <w:sz w:val="32"/>
                <w:szCs w:val="32"/>
              </w:rPr>
            </w:pPr>
          </w:p>
        </w:tc>
        <w:tc>
          <w:tcPr>
            <w:tcW w:w="1550" w:type="dxa"/>
            <w:vAlign w:val="center"/>
          </w:tcPr>
          <w:p w14:paraId="4C2CAEE5"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IPNV</w:t>
            </w:r>
          </w:p>
        </w:tc>
        <w:tc>
          <w:tcPr>
            <w:tcW w:w="1749" w:type="dxa"/>
            <w:vAlign w:val="center"/>
          </w:tcPr>
          <w:p w14:paraId="693E70C3"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幽门垂，肾脏</w:t>
            </w:r>
          </w:p>
        </w:tc>
        <w:tc>
          <w:tcPr>
            <w:tcW w:w="1627" w:type="dxa"/>
            <w:vAlign w:val="center"/>
          </w:tcPr>
          <w:p w14:paraId="1B78E66C"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直肠内容物，卵液</w:t>
            </w:r>
          </w:p>
        </w:tc>
        <w:tc>
          <w:tcPr>
            <w:tcW w:w="3090" w:type="dxa"/>
            <w:vAlign w:val="center"/>
          </w:tcPr>
          <w:p w14:paraId="082C8133" w14:textId="77777777" w:rsidR="00DB2B12" w:rsidRPr="00AF0151" w:rsidRDefault="00DB2B12" w:rsidP="00DB2B12">
            <w:pPr>
              <w:pStyle w:val="aff0"/>
              <w:spacing w:before="100" w:beforeAutospacing="1" w:after="100" w:afterAutospacing="1"/>
              <w:ind w:firstLineChars="100" w:firstLine="320"/>
              <w:jc w:val="left"/>
              <w:rPr>
                <w:rFonts w:ascii="仿宋" w:eastAsia="仿宋" w:hAnsi="仿宋"/>
                <w:sz w:val="32"/>
                <w:szCs w:val="32"/>
              </w:rPr>
            </w:pPr>
            <w:r w:rsidRPr="00AF0151">
              <w:rPr>
                <w:rFonts w:ascii="仿宋" w:eastAsia="仿宋" w:hAnsi="仿宋"/>
                <w:sz w:val="32"/>
                <w:szCs w:val="32"/>
              </w:rPr>
              <w:t>IPNV主要侵害胰脏组织。垂直传播监测须采集亲鱼的卵液。</w:t>
            </w:r>
          </w:p>
        </w:tc>
      </w:tr>
      <w:tr w:rsidR="00DB2B12" w:rsidRPr="00AF0151" w14:paraId="2D1C9B4F" w14:textId="77777777" w:rsidTr="00284314">
        <w:trPr>
          <w:trHeight w:val="706"/>
          <w:jc w:val="center"/>
        </w:trPr>
        <w:tc>
          <w:tcPr>
            <w:tcW w:w="604" w:type="dxa"/>
            <w:vMerge/>
            <w:vAlign w:val="center"/>
          </w:tcPr>
          <w:p w14:paraId="7A3C69B7" w14:textId="77777777" w:rsidR="00DB2B12" w:rsidRPr="00AF0151" w:rsidRDefault="00DB2B12" w:rsidP="00DB2B12">
            <w:pPr>
              <w:pStyle w:val="aff0"/>
              <w:spacing w:before="100" w:beforeAutospacing="1" w:after="100" w:afterAutospacing="1"/>
              <w:rPr>
                <w:rFonts w:ascii="仿宋" w:eastAsia="仿宋" w:hAnsi="仿宋"/>
                <w:sz w:val="32"/>
                <w:szCs w:val="32"/>
              </w:rPr>
            </w:pPr>
          </w:p>
        </w:tc>
        <w:tc>
          <w:tcPr>
            <w:tcW w:w="1550" w:type="dxa"/>
            <w:vAlign w:val="center"/>
          </w:tcPr>
          <w:p w14:paraId="7AB08BC3"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IHNV</w:t>
            </w:r>
          </w:p>
        </w:tc>
        <w:tc>
          <w:tcPr>
            <w:tcW w:w="1749" w:type="dxa"/>
            <w:vAlign w:val="center"/>
          </w:tcPr>
          <w:p w14:paraId="61EEA276"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前肾，中肾，脾脏</w:t>
            </w:r>
          </w:p>
        </w:tc>
        <w:tc>
          <w:tcPr>
            <w:tcW w:w="1627" w:type="dxa"/>
            <w:vAlign w:val="center"/>
          </w:tcPr>
          <w:p w14:paraId="1ADB74FE"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脑，心脏，鳃丝</w:t>
            </w:r>
          </w:p>
        </w:tc>
        <w:tc>
          <w:tcPr>
            <w:tcW w:w="3090" w:type="dxa"/>
            <w:vAlign w:val="center"/>
          </w:tcPr>
          <w:p w14:paraId="7023EBDE" w14:textId="77777777" w:rsidR="00DB2B12" w:rsidRPr="00AF0151" w:rsidRDefault="00DB2B12" w:rsidP="00DB2B12">
            <w:pPr>
              <w:pStyle w:val="aff0"/>
              <w:spacing w:before="100" w:beforeAutospacing="1" w:after="100" w:afterAutospacing="1"/>
              <w:ind w:firstLineChars="100" w:firstLine="320"/>
              <w:jc w:val="left"/>
              <w:rPr>
                <w:rFonts w:ascii="仿宋" w:eastAsia="仿宋" w:hAnsi="仿宋"/>
                <w:sz w:val="32"/>
                <w:szCs w:val="32"/>
              </w:rPr>
            </w:pPr>
            <w:r w:rsidRPr="00AF0151">
              <w:rPr>
                <w:rFonts w:ascii="仿宋" w:eastAsia="仿宋" w:hAnsi="仿宋"/>
                <w:sz w:val="32"/>
                <w:szCs w:val="32"/>
              </w:rPr>
              <w:t>病毒血症期病毒广泛分布，肾脏载量最高。稚鱼</w:t>
            </w:r>
            <w:r w:rsidRPr="00AF0151">
              <w:rPr>
                <w:rFonts w:ascii="仿宋" w:eastAsia="仿宋" w:hAnsi="仿宋" w:hint="eastAsia"/>
                <w:sz w:val="32"/>
                <w:szCs w:val="32"/>
              </w:rPr>
              <w:t>（</w:t>
            </w:r>
            <w:r w:rsidRPr="00AF0151">
              <w:rPr>
                <w:rFonts w:ascii="仿宋" w:eastAsia="仿宋" w:hAnsi="仿宋"/>
                <w:sz w:val="32"/>
                <w:szCs w:val="32"/>
              </w:rPr>
              <w:t>&lt;4 cm</w:t>
            </w:r>
            <w:r w:rsidRPr="00AF0151">
              <w:rPr>
                <w:rFonts w:ascii="仿宋" w:eastAsia="仿宋" w:hAnsi="仿宋" w:hint="eastAsia"/>
                <w:sz w:val="32"/>
                <w:szCs w:val="32"/>
              </w:rPr>
              <w:t>）</w:t>
            </w:r>
            <w:r w:rsidRPr="00AF0151">
              <w:rPr>
                <w:rFonts w:ascii="仿宋" w:eastAsia="仿宋" w:hAnsi="仿宋"/>
                <w:sz w:val="32"/>
                <w:szCs w:val="32"/>
              </w:rPr>
              <w:t>可切除尾部后整条采样。</w:t>
            </w:r>
          </w:p>
        </w:tc>
      </w:tr>
      <w:tr w:rsidR="00DB2B12" w:rsidRPr="00AF0151" w14:paraId="2A2AD9D6" w14:textId="77777777" w:rsidTr="00284314">
        <w:trPr>
          <w:trHeight w:val="700"/>
          <w:jc w:val="center"/>
        </w:trPr>
        <w:tc>
          <w:tcPr>
            <w:tcW w:w="604" w:type="dxa"/>
            <w:vMerge/>
            <w:vAlign w:val="center"/>
          </w:tcPr>
          <w:p w14:paraId="3D7F02B0" w14:textId="77777777" w:rsidR="00DB2B12" w:rsidRPr="00AF0151" w:rsidRDefault="00DB2B12" w:rsidP="00DB2B12">
            <w:pPr>
              <w:pStyle w:val="aff0"/>
              <w:spacing w:before="100" w:beforeAutospacing="1" w:after="100" w:afterAutospacing="1"/>
              <w:rPr>
                <w:rFonts w:ascii="仿宋" w:eastAsia="仿宋" w:hAnsi="仿宋"/>
                <w:sz w:val="32"/>
                <w:szCs w:val="32"/>
              </w:rPr>
            </w:pPr>
          </w:p>
        </w:tc>
        <w:tc>
          <w:tcPr>
            <w:tcW w:w="1550" w:type="dxa"/>
            <w:vAlign w:val="center"/>
          </w:tcPr>
          <w:p w14:paraId="4C96DD5F"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SAV</w:t>
            </w:r>
          </w:p>
        </w:tc>
        <w:tc>
          <w:tcPr>
            <w:tcW w:w="1749" w:type="dxa"/>
            <w:vAlign w:val="center"/>
          </w:tcPr>
          <w:p w14:paraId="52B771A2"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心脏 (心室/心房）</w:t>
            </w:r>
            <w:r w:rsidRPr="00AF0151">
              <w:rPr>
                <w:rFonts w:ascii="仿宋" w:eastAsia="仿宋" w:hAnsi="仿宋" w:hint="eastAsia"/>
                <w:sz w:val="32"/>
                <w:szCs w:val="32"/>
              </w:rPr>
              <w:t>，</w:t>
            </w:r>
            <w:r w:rsidRPr="00AF0151">
              <w:rPr>
                <w:rFonts w:ascii="仿宋" w:eastAsia="仿宋" w:hAnsi="仿宋"/>
                <w:sz w:val="32"/>
                <w:szCs w:val="32"/>
              </w:rPr>
              <w:t>骨骼肌</w:t>
            </w:r>
            <w:r w:rsidRPr="00AF0151">
              <w:rPr>
                <w:rFonts w:ascii="仿宋" w:eastAsia="仿宋" w:hAnsi="仿宋" w:hint="eastAsia"/>
                <w:sz w:val="32"/>
                <w:szCs w:val="32"/>
              </w:rPr>
              <w:t>，胰腺</w:t>
            </w:r>
          </w:p>
        </w:tc>
        <w:tc>
          <w:tcPr>
            <w:tcW w:w="1627" w:type="dxa"/>
            <w:vAlign w:val="center"/>
          </w:tcPr>
          <w:p w14:paraId="628F31CF"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中肾,</w:t>
            </w:r>
            <w:r w:rsidRPr="00AF0151">
              <w:rPr>
                <w:rFonts w:ascii="仿宋" w:eastAsia="仿宋" w:hAnsi="仿宋" w:hint="eastAsia"/>
                <w:sz w:val="32"/>
                <w:szCs w:val="32"/>
              </w:rPr>
              <w:t>鳃</w:t>
            </w:r>
          </w:p>
        </w:tc>
        <w:tc>
          <w:tcPr>
            <w:tcW w:w="3090" w:type="dxa"/>
            <w:vAlign w:val="center"/>
          </w:tcPr>
          <w:p w14:paraId="2A76C9DD" w14:textId="77777777" w:rsidR="00DB2B12" w:rsidRPr="00AF0151" w:rsidRDefault="00DB2B12" w:rsidP="00DB2B12">
            <w:pPr>
              <w:pStyle w:val="aff0"/>
              <w:spacing w:before="100" w:beforeAutospacing="1" w:after="100" w:afterAutospacing="1"/>
              <w:ind w:firstLineChars="100" w:firstLine="320"/>
              <w:jc w:val="left"/>
              <w:rPr>
                <w:rFonts w:ascii="仿宋" w:eastAsia="仿宋" w:hAnsi="仿宋"/>
                <w:sz w:val="32"/>
                <w:szCs w:val="32"/>
              </w:rPr>
            </w:pPr>
            <w:r w:rsidRPr="00AF0151">
              <w:rPr>
                <w:rFonts w:ascii="仿宋" w:eastAsia="仿宋" w:hAnsi="仿宋"/>
                <w:sz w:val="32"/>
                <w:szCs w:val="32"/>
              </w:rPr>
              <w:t>SAV主要引起胰脏病和心脏炎症。</w:t>
            </w:r>
          </w:p>
        </w:tc>
      </w:tr>
      <w:tr w:rsidR="00DB2B12" w:rsidRPr="00AF0151" w14:paraId="4622379F" w14:textId="77777777" w:rsidTr="00284314">
        <w:trPr>
          <w:trHeight w:val="650"/>
          <w:jc w:val="center"/>
        </w:trPr>
        <w:tc>
          <w:tcPr>
            <w:tcW w:w="604" w:type="dxa"/>
            <w:vMerge/>
            <w:vAlign w:val="center"/>
          </w:tcPr>
          <w:p w14:paraId="48F3A336" w14:textId="77777777" w:rsidR="00DB2B12" w:rsidRPr="00AF0151" w:rsidRDefault="00DB2B12" w:rsidP="00DB2B12">
            <w:pPr>
              <w:pStyle w:val="aff0"/>
              <w:spacing w:before="100" w:beforeAutospacing="1" w:after="100" w:afterAutospacing="1"/>
              <w:rPr>
                <w:rFonts w:ascii="仿宋" w:eastAsia="仿宋" w:hAnsi="仿宋"/>
                <w:sz w:val="32"/>
                <w:szCs w:val="32"/>
              </w:rPr>
            </w:pPr>
          </w:p>
        </w:tc>
        <w:tc>
          <w:tcPr>
            <w:tcW w:w="1550" w:type="dxa"/>
            <w:vAlign w:val="center"/>
          </w:tcPr>
          <w:p w14:paraId="45C9187F"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I</w:t>
            </w:r>
            <w:r w:rsidRPr="00AF0151">
              <w:rPr>
                <w:rFonts w:ascii="仿宋" w:eastAsia="仿宋" w:hAnsi="仿宋"/>
                <w:sz w:val="32"/>
                <w:szCs w:val="32"/>
              </w:rPr>
              <w:t>SAV</w:t>
            </w:r>
          </w:p>
        </w:tc>
        <w:tc>
          <w:tcPr>
            <w:tcW w:w="1749" w:type="dxa"/>
            <w:vAlign w:val="center"/>
          </w:tcPr>
          <w:p w14:paraId="4EBD9DB9"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肾脏</w:t>
            </w:r>
          </w:p>
        </w:tc>
        <w:tc>
          <w:tcPr>
            <w:tcW w:w="1627" w:type="dxa"/>
            <w:vAlign w:val="center"/>
          </w:tcPr>
          <w:p w14:paraId="5B589706"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脾脏、心脏、肝脏</w:t>
            </w:r>
          </w:p>
        </w:tc>
        <w:tc>
          <w:tcPr>
            <w:tcW w:w="3090" w:type="dxa"/>
            <w:vAlign w:val="center"/>
          </w:tcPr>
          <w:p w14:paraId="70A6B2B2"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最好是有临床症状的鱼肾，作为病毒分离的材料。</w:t>
            </w:r>
          </w:p>
        </w:tc>
      </w:tr>
      <w:tr w:rsidR="00DB2B12" w:rsidRPr="00AF0151" w14:paraId="09176955" w14:textId="77777777" w:rsidTr="00284314">
        <w:trPr>
          <w:trHeight w:val="650"/>
          <w:jc w:val="center"/>
        </w:trPr>
        <w:tc>
          <w:tcPr>
            <w:tcW w:w="604" w:type="dxa"/>
            <w:vMerge/>
            <w:vAlign w:val="center"/>
          </w:tcPr>
          <w:p w14:paraId="29BCAA67" w14:textId="77777777" w:rsidR="00DB2B12" w:rsidRPr="00AF0151" w:rsidRDefault="00DB2B12" w:rsidP="00DB2B12">
            <w:pPr>
              <w:pStyle w:val="aff0"/>
              <w:spacing w:before="100" w:beforeAutospacing="1" w:after="100" w:afterAutospacing="1"/>
              <w:rPr>
                <w:rFonts w:ascii="仿宋" w:eastAsia="仿宋" w:hAnsi="仿宋"/>
                <w:sz w:val="32"/>
                <w:szCs w:val="32"/>
              </w:rPr>
            </w:pPr>
          </w:p>
        </w:tc>
        <w:tc>
          <w:tcPr>
            <w:tcW w:w="1550" w:type="dxa"/>
            <w:vAlign w:val="center"/>
          </w:tcPr>
          <w:p w14:paraId="45E1EA83"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EHNV</w:t>
            </w:r>
          </w:p>
        </w:tc>
        <w:tc>
          <w:tcPr>
            <w:tcW w:w="1749" w:type="dxa"/>
            <w:vAlign w:val="center"/>
          </w:tcPr>
          <w:p w14:paraId="06EE8D2B"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bookmarkStart w:id="27" w:name="OLE_LINK24"/>
            <w:bookmarkStart w:id="28" w:name="OLE_LINK25"/>
            <w:r w:rsidRPr="00AF0151">
              <w:rPr>
                <w:rFonts w:ascii="仿宋" w:eastAsia="仿宋" w:hAnsi="仿宋" w:hint="eastAsia"/>
                <w:sz w:val="32"/>
                <w:szCs w:val="32"/>
              </w:rPr>
              <w:t>肝脏、脾脏、肾脏</w:t>
            </w:r>
            <w:bookmarkEnd w:id="27"/>
            <w:bookmarkEnd w:id="28"/>
          </w:p>
        </w:tc>
        <w:tc>
          <w:tcPr>
            <w:tcW w:w="1627" w:type="dxa"/>
            <w:vAlign w:val="center"/>
          </w:tcPr>
          <w:p w14:paraId="08AA5B7A"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去头和尾后的整条</w:t>
            </w:r>
          </w:p>
        </w:tc>
        <w:tc>
          <w:tcPr>
            <w:tcW w:w="3090" w:type="dxa"/>
            <w:vAlign w:val="center"/>
          </w:tcPr>
          <w:p w14:paraId="0A841B49"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体长≤</w:t>
            </w:r>
            <w:r w:rsidRPr="00AF0151">
              <w:rPr>
                <w:rFonts w:ascii="仿宋" w:eastAsia="仿宋" w:hAnsi="仿宋"/>
                <w:sz w:val="32"/>
                <w:szCs w:val="32"/>
              </w:rPr>
              <w:t>4 cm</w:t>
            </w:r>
            <w:r w:rsidRPr="00AF0151">
              <w:rPr>
                <w:rFonts w:ascii="仿宋" w:eastAsia="仿宋" w:hAnsi="仿宋" w:hint="eastAsia"/>
                <w:sz w:val="32"/>
                <w:szCs w:val="32"/>
              </w:rPr>
              <w:t>的鱼苗去头和尾后的整体；4</w:t>
            </w:r>
            <w:r w:rsidRPr="00AF0151">
              <w:rPr>
                <w:rFonts w:ascii="仿宋" w:eastAsia="仿宋" w:hAnsi="仿宋"/>
                <w:sz w:val="32"/>
                <w:szCs w:val="32"/>
              </w:rPr>
              <w:t xml:space="preserve"> </w:t>
            </w:r>
            <w:r w:rsidRPr="00AF0151">
              <w:rPr>
                <w:rFonts w:ascii="仿宋" w:eastAsia="仿宋" w:hAnsi="仿宋" w:hint="eastAsia"/>
                <w:sz w:val="32"/>
                <w:szCs w:val="32"/>
              </w:rPr>
              <w:t>cm～6</w:t>
            </w:r>
            <w:r w:rsidRPr="00AF0151">
              <w:rPr>
                <w:rFonts w:ascii="仿宋" w:eastAsia="仿宋" w:hAnsi="仿宋"/>
                <w:sz w:val="32"/>
                <w:szCs w:val="32"/>
              </w:rPr>
              <w:t xml:space="preserve"> </w:t>
            </w:r>
            <w:r w:rsidRPr="00AF0151">
              <w:rPr>
                <w:rFonts w:ascii="仿宋" w:eastAsia="仿宋" w:hAnsi="仿宋" w:hint="eastAsia"/>
                <w:sz w:val="32"/>
                <w:szCs w:val="32"/>
              </w:rPr>
              <w:t>cm规格鱼苗取内脏及肾脏；体长＞6</w:t>
            </w:r>
            <w:r w:rsidRPr="00AF0151">
              <w:rPr>
                <w:rFonts w:ascii="仿宋" w:eastAsia="仿宋" w:hAnsi="仿宋"/>
                <w:sz w:val="32"/>
                <w:szCs w:val="32"/>
              </w:rPr>
              <w:t xml:space="preserve"> </w:t>
            </w:r>
            <w:r w:rsidRPr="00AF0151">
              <w:rPr>
                <w:rFonts w:ascii="仿宋" w:eastAsia="仿宋" w:hAnsi="仿宋" w:hint="eastAsia"/>
                <w:sz w:val="32"/>
                <w:szCs w:val="32"/>
              </w:rPr>
              <w:t>cm的鱼取肝脏、脾脏、肾脏</w:t>
            </w:r>
            <w:r w:rsidRPr="00AF0151">
              <w:rPr>
                <w:rFonts w:ascii="仿宋" w:eastAsia="仿宋" w:hAnsi="仿宋"/>
                <w:sz w:val="32"/>
                <w:szCs w:val="32"/>
              </w:rPr>
              <w:t>。</w:t>
            </w:r>
          </w:p>
        </w:tc>
      </w:tr>
      <w:tr w:rsidR="00DB2B12" w:rsidRPr="00AF0151" w14:paraId="77D90943" w14:textId="77777777" w:rsidTr="00284314">
        <w:trPr>
          <w:trHeight w:val="650"/>
          <w:jc w:val="center"/>
        </w:trPr>
        <w:tc>
          <w:tcPr>
            <w:tcW w:w="604" w:type="dxa"/>
            <w:vMerge/>
            <w:vAlign w:val="center"/>
          </w:tcPr>
          <w:p w14:paraId="6230A2FD" w14:textId="77777777" w:rsidR="00DB2B12" w:rsidRPr="00AF0151" w:rsidRDefault="00DB2B12" w:rsidP="00DB2B12">
            <w:pPr>
              <w:pStyle w:val="aff0"/>
              <w:spacing w:before="100" w:beforeAutospacing="1" w:after="100" w:afterAutospacing="1"/>
              <w:rPr>
                <w:rFonts w:ascii="仿宋" w:eastAsia="仿宋" w:hAnsi="仿宋"/>
                <w:sz w:val="32"/>
                <w:szCs w:val="32"/>
              </w:rPr>
            </w:pPr>
          </w:p>
        </w:tc>
        <w:tc>
          <w:tcPr>
            <w:tcW w:w="1550" w:type="dxa"/>
            <w:vAlign w:val="center"/>
          </w:tcPr>
          <w:p w14:paraId="7EE9BE31"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PRV</w:t>
            </w:r>
          </w:p>
        </w:tc>
        <w:tc>
          <w:tcPr>
            <w:tcW w:w="1749" w:type="dxa"/>
            <w:vAlign w:val="center"/>
          </w:tcPr>
          <w:p w14:paraId="6832486C"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心脏，血，脾脏</w:t>
            </w:r>
          </w:p>
        </w:tc>
        <w:tc>
          <w:tcPr>
            <w:tcW w:w="1627" w:type="dxa"/>
            <w:vAlign w:val="center"/>
          </w:tcPr>
          <w:p w14:paraId="6C11435B"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骨骼肌，生殖腺液</w:t>
            </w:r>
          </w:p>
        </w:tc>
        <w:tc>
          <w:tcPr>
            <w:tcW w:w="3090" w:type="dxa"/>
            <w:vAlign w:val="center"/>
          </w:tcPr>
          <w:p w14:paraId="6D51D804"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PRV-1主要感染大西洋鲑，是导致心脏与骨骼肌</w:t>
            </w:r>
            <w:r w:rsidRPr="00AF0151">
              <w:rPr>
                <w:rFonts w:ascii="仿宋" w:eastAsia="仿宋" w:hAnsi="仿宋" w:hint="eastAsia"/>
                <w:sz w:val="32"/>
                <w:szCs w:val="32"/>
              </w:rPr>
              <w:lastRenderedPageBreak/>
              <w:t>炎症的直接病原体；</w:t>
            </w:r>
            <w:r w:rsidRPr="00AF0151">
              <w:rPr>
                <w:rFonts w:ascii="仿宋" w:eastAsia="仿宋" w:hAnsi="仿宋"/>
                <w:sz w:val="32"/>
                <w:szCs w:val="32"/>
              </w:rPr>
              <w:t>PRV-2</w:t>
            </w:r>
            <w:r w:rsidRPr="00AF0151">
              <w:rPr>
                <w:rFonts w:ascii="仿宋" w:eastAsia="仿宋" w:hAnsi="仿宋" w:hint="eastAsia"/>
                <w:sz w:val="32"/>
                <w:szCs w:val="32"/>
              </w:rPr>
              <w:t>主要在太平洋西北部及日本的银鲑中流行，引发红细胞包涵体综合征；PRV-3在虹鳟、银鲑及褐鳟中有发现。</w:t>
            </w:r>
          </w:p>
        </w:tc>
      </w:tr>
      <w:tr w:rsidR="00DB2B12" w:rsidRPr="00AF0151" w14:paraId="53D0D3DC" w14:textId="77777777" w:rsidTr="00284314">
        <w:trPr>
          <w:trHeight w:val="650"/>
          <w:jc w:val="center"/>
        </w:trPr>
        <w:tc>
          <w:tcPr>
            <w:tcW w:w="604" w:type="dxa"/>
            <w:vMerge w:val="restart"/>
            <w:vAlign w:val="center"/>
          </w:tcPr>
          <w:p w14:paraId="5C453A43" w14:textId="77777777" w:rsidR="00DB2B12" w:rsidRPr="00AF0151" w:rsidRDefault="00DB2B12" w:rsidP="00DB2B12">
            <w:pPr>
              <w:pStyle w:val="aff0"/>
              <w:spacing w:before="100" w:beforeAutospacing="1" w:after="100" w:afterAutospacing="1"/>
              <w:rPr>
                <w:rFonts w:ascii="仿宋" w:eastAsia="仿宋" w:hAnsi="仿宋"/>
                <w:sz w:val="32"/>
                <w:szCs w:val="32"/>
              </w:rPr>
            </w:pPr>
            <w:r w:rsidRPr="00AF0151">
              <w:rPr>
                <w:rFonts w:ascii="仿宋" w:eastAsia="仿宋" w:hAnsi="仿宋"/>
                <w:sz w:val="32"/>
                <w:szCs w:val="32"/>
              </w:rPr>
              <w:lastRenderedPageBreak/>
              <w:t>细菌性</w:t>
            </w:r>
          </w:p>
        </w:tc>
        <w:tc>
          <w:tcPr>
            <w:tcW w:w="1550" w:type="dxa"/>
            <w:vAlign w:val="center"/>
          </w:tcPr>
          <w:p w14:paraId="66D8FDF8" w14:textId="77777777" w:rsidR="00DB2B12" w:rsidRPr="00AF0151" w:rsidRDefault="00DB2B12" w:rsidP="00DB2B12">
            <w:pPr>
              <w:pStyle w:val="aff0"/>
              <w:spacing w:before="100" w:beforeAutospacing="1" w:after="100" w:afterAutospacing="1"/>
              <w:jc w:val="left"/>
              <w:rPr>
                <w:rFonts w:ascii="仿宋" w:eastAsia="仿宋" w:hAnsi="仿宋"/>
                <w:i/>
                <w:iCs/>
                <w:sz w:val="32"/>
                <w:szCs w:val="32"/>
              </w:rPr>
            </w:pPr>
            <w:r w:rsidRPr="00AF0151">
              <w:rPr>
                <w:rFonts w:ascii="仿宋" w:eastAsia="仿宋" w:hAnsi="仿宋" w:hint="eastAsia"/>
                <w:iCs/>
                <w:sz w:val="32"/>
                <w:szCs w:val="32"/>
              </w:rPr>
              <w:t>鲑鱼立克次体</w:t>
            </w:r>
            <w:r w:rsidRPr="00AF0151">
              <w:rPr>
                <w:rFonts w:ascii="仿宋" w:eastAsia="仿宋" w:hAnsi="仿宋"/>
                <w:i/>
                <w:iCs/>
                <w:sz w:val="32"/>
                <w:szCs w:val="32"/>
              </w:rPr>
              <w:t>Piscirickettsia salmonis</w:t>
            </w:r>
          </w:p>
          <w:p w14:paraId="2D9406EF"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p>
        </w:tc>
        <w:tc>
          <w:tcPr>
            <w:tcW w:w="1749" w:type="dxa"/>
            <w:vAlign w:val="center"/>
          </w:tcPr>
          <w:p w14:paraId="22DAD19F"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肾脏，肝脏</w:t>
            </w:r>
          </w:p>
        </w:tc>
        <w:tc>
          <w:tcPr>
            <w:tcW w:w="1627" w:type="dxa"/>
            <w:vAlign w:val="center"/>
          </w:tcPr>
          <w:p w14:paraId="3FA88F96"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脑，皮肤溃疡</w:t>
            </w:r>
          </w:p>
        </w:tc>
        <w:tc>
          <w:tcPr>
            <w:tcW w:w="3090" w:type="dxa"/>
            <w:vAlign w:val="center"/>
          </w:tcPr>
          <w:p w14:paraId="40994AA1"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SRS为胞内寄生菌，常引起肾脏肿大和肝脏坏死结节。若有皮肤溃疡，必须采集溃疡边缘的新鲜组织。</w:t>
            </w:r>
          </w:p>
        </w:tc>
      </w:tr>
      <w:tr w:rsidR="00DB2B12" w:rsidRPr="00AF0151" w14:paraId="21B7FAFF" w14:textId="77777777" w:rsidTr="00284314">
        <w:trPr>
          <w:trHeight w:val="650"/>
          <w:jc w:val="center"/>
        </w:trPr>
        <w:tc>
          <w:tcPr>
            <w:tcW w:w="604" w:type="dxa"/>
            <w:vMerge/>
            <w:vAlign w:val="center"/>
          </w:tcPr>
          <w:p w14:paraId="0D5C82CE" w14:textId="77777777" w:rsidR="00DB2B12" w:rsidRPr="00AF0151" w:rsidRDefault="00DB2B12" w:rsidP="00DB2B12">
            <w:pPr>
              <w:pStyle w:val="aff0"/>
              <w:spacing w:before="100" w:beforeAutospacing="1" w:after="100" w:afterAutospacing="1"/>
              <w:rPr>
                <w:rFonts w:ascii="仿宋" w:eastAsia="仿宋" w:hAnsi="仿宋"/>
                <w:sz w:val="32"/>
                <w:szCs w:val="32"/>
              </w:rPr>
            </w:pPr>
          </w:p>
        </w:tc>
        <w:tc>
          <w:tcPr>
            <w:tcW w:w="1550" w:type="dxa"/>
            <w:vAlign w:val="center"/>
          </w:tcPr>
          <w:p w14:paraId="3112D12F" w14:textId="77777777" w:rsidR="00DB2B12" w:rsidRPr="00AF0151" w:rsidRDefault="00DB2B12" w:rsidP="00DB2B12">
            <w:pPr>
              <w:pStyle w:val="aff0"/>
              <w:spacing w:before="100" w:beforeAutospacing="1" w:after="100" w:afterAutospacing="1"/>
              <w:jc w:val="left"/>
              <w:rPr>
                <w:rFonts w:ascii="仿宋" w:eastAsia="仿宋" w:hAnsi="仿宋"/>
                <w:iCs/>
                <w:sz w:val="32"/>
                <w:szCs w:val="32"/>
              </w:rPr>
            </w:pPr>
            <w:r w:rsidRPr="00AF0151">
              <w:rPr>
                <w:rFonts w:ascii="仿宋" w:eastAsia="仿宋" w:hAnsi="仿宋" w:hint="eastAsia"/>
                <w:iCs/>
                <w:sz w:val="32"/>
                <w:szCs w:val="32"/>
              </w:rPr>
              <w:t>鲑肾杆菌</w:t>
            </w:r>
            <w:r w:rsidRPr="00AF0151">
              <w:rPr>
                <w:rFonts w:ascii="仿宋" w:eastAsia="仿宋" w:hAnsi="仿宋"/>
                <w:i/>
                <w:iCs/>
                <w:sz w:val="32"/>
                <w:szCs w:val="32"/>
              </w:rPr>
              <w:t>Renibacterium salmoninarum</w:t>
            </w:r>
          </w:p>
        </w:tc>
        <w:tc>
          <w:tcPr>
            <w:tcW w:w="1749" w:type="dxa"/>
            <w:vAlign w:val="center"/>
          </w:tcPr>
          <w:p w14:paraId="39EFC254"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肾脏 (含肉芽肿）</w:t>
            </w:r>
          </w:p>
        </w:tc>
        <w:tc>
          <w:tcPr>
            <w:tcW w:w="1627" w:type="dxa"/>
            <w:vAlign w:val="center"/>
          </w:tcPr>
          <w:p w14:paraId="3DFEEA94"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卵液，脾脏</w:t>
            </w:r>
          </w:p>
        </w:tc>
        <w:tc>
          <w:tcPr>
            <w:tcW w:w="3090" w:type="dxa"/>
            <w:vAlign w:val="center"/>
          </w:tcPr>
          <w:p w14:paraId="777A1657"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BKD为慢性肉芽肿性疾病。采样时应优先选择含有白色结节的肾脏组织。无症状携带者监测推荐无损采集粘液或卵液。</w:t>
            </w:r>
          </w:p>
        </w:tc>
      </w:tr>
      <w:tr w:rsidR="00DB2B12" w:rsidRPr="00AF0151" w14:paraId="48D2A10C" w14:textId="77777777" w:rsidTr="00284314">
        <w:trPr>
          <w:trHeight w:val="650"/>
          <w:jc w:val="center"/>
        </w:trPr>
        <w:tc>
          <w:tcPr>
            <w:tcW w:w="604" w:type="dxa"/>
            <w:vMerge/>
            <w:vAlign w:val="center"/>
          </w:tcPr>
          <w:p w14:paraId="2A24D7FD" w14:textId="77777777" w:rsidR="00DB2B12" w:rsidRPr="00AF0151" w:rsidRDefault="00DB2B12" w:rsidP="00DB2B12">
            <w:pPr>
              <w:pStyle w:val="aff0"/>
              <w:spacing w:before="100" w:beforeAutospacing="1" w:after="100" w:afterAutospacing="1"/>
              <w:rPr>
                <w:rFonts w:ascii="仿宋" w:eastAsia="仿宋" w:hAnsi="仿宋"/>
                <w:sz w:val="32"/>
                <w:szCs w:val="32"/>
              </w:rPr>
            </w:pPr>
          </w:p>
        </w:tc>
        <w:tc>
          <w:tcPr>
            <w:tcW w:w="1550" w:type="dxa"/>
            <w:vAlign w:val="center"/>
          </w:tcPr>
          <w:p w14:paraId="627EC619" w14:textId="77777777" w:rsidR="00DB2B12" w:rsidRPr="00AF0151" w:rsidRDefault="00DB2B12" w:rsidP="00DB2B12">
            <w:pPr>
              <w:pStyle w:val="aff0"/>
              <w:spacing w:before="100" w:beforeAutospacing="1" w:after="100" w:afterAutospacing="1"/>
              <w:jc w:val="left"/>
              <w:rPr>
                <w:rFonts w:ascii="仿宋" w:eastAsia="仿宋" w:hAnsi="仿宋"/>
                <w:iCs/>
                <w:sz w:val="32"/>
                <w:szCs w:val="32"/>
              </w:rPr>
            </w:pPr>
            <w:r w:rsidRPr="00AF0151">
              <w:rPr>
                <w:rFonts w:ascii="仿宋" w:eastAsia="仿宋" w:hAnsi="仿宋" w:hint="eastAsia"/>
                <w:iCs/>
                <w:sz w:val="32"/>
                <w:szCs w:val="32"/>
              </w:rPr>
              <w:t>杀鲑气单胞菌</w:t>
            </w:r>
            <w:r w:rsidRPr="00AF0151">
              <w:rPr>
                <w:rFonts w:ascii="仿宋" w:eastAsia="仿宋" w:hAnsi="仿宋"/>
                <w:bCs/>
                <w:i/>
                <w:sz w:val="32"/>
                <w:szCs w:val="32"/>
              </w:rPr>
              <w:t>Aeromonas salmonicida</w:t>
            </w:r>
            <w:r w:rsidRPr="00AF0151" w:rsidDel="004024B1">
              <w:rPr>
                <w:rFonts w:ascii="仿宋" w:eastAsia="仿宋" w:hAnsi="仿宋"/>
                <w:i/>
                <w:iCs/>
                <w:sz w:val="32"/>
                <w:szCs w:val="32"/>
              </w:rPr>
              <w:t xml:space="preserve"> </w:t>
            </w:r>
          </w:p>
        </w:tc>
        <w:tc>
          <w:tcPr>
            <w:tcW w:w="1749" w:type="dxa"/>
            <w:vAlign w:val="center"/>
          </w:tcPr>
          <w:p w14:paraId="348287F9"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病变组织，</w:t>
            </w:r>
            <w:r w:rsidRPr="00AF0151">
              <w:rPr>
                <w:rFonts w:ascii="仿宋" w:eastAsia="仿宋" w:hAnsi="仿宋"/>
                <w:sz w:val="32"/>
                <w:szCs w:val="32"/>
              </w:rPr>
              <w:t>肾脏，脾脏</w:t>
            </w:r>
          </w:p>
        </w:tc>
        <w:tc>
          <w:tcPr>
            <w:tcW w:w="1627" w:type="dxa"/>
            <w:vAlign w:val="center"/>
          </w:tcPr>
          <w:p w14:paraId="0EA71B99"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肝脏</w:t>
            </w:r>
          </w:p>
        </w:tc>
        <w:tc>
          <w:tcPr>
            <w:tcW w:w="3090" w:type="dxa"/>
            <w:vAlign w:val="center"/>
          </w:tcPr>
          <w:p w14:paraId="3BDA82A4"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优先采集有临床症状的个体。采集病灶组织前，需用75%乙醇消毒表面。样品宜活体运输，冰鲜样品应在0℃~4℃保存并于24小时内送达实验室。</w:t>
            </w:r>
            <w:r w:rsidRPr="00AF0151">
              <w:rPr>
                <w:rFonts w:ascii="仿宋" w:eastAsia="仿宋" w:hAnsi="仿宋"/>
                <w:sz w:val="32"/>
                <w:szCs w:val="32"/>
              </w:rPr>
              <w:t>。</w:t>
            </w:r>
          </w:p>
        </w:tc>
      </w:tr>
      <w:tr w:rsidR="00DB2B12" w:rsidRPr="00AF0151" w14:paraId="3F65EE75" w14:textId="77777777" w:rsidTr="00284314">
        <w:trPr>
          <w:trHeight w:val="650"/>
          <w:jc w:val="center"/>
        </w:trPr>
        <w:tc>
          <w:tcPr>
            <w:tcW w:w="604" w:type="dxa"/>
            <w:vMerge w:val="restart"/>
            <w:vAlign w:val="center"/>
          </w:tcPr>
          <w:p w14:paraId="53793089" w14:textId="77777777" w:rsidR="00DB2B12" w:rsidRPr="00AF0151" w:rsidRDefault="00DB2B12" w:rsidP="00DB2B12">
            <w:pPr>
              <w:pStyle w:val="aff0"/>
              <w:spacing w:before="100" w:beforeAutospacing="1" w:after="100" w:afterAutospacing="1"/>
              <w:rPr>
                <w:rFonts w:ascii="仿宋" w:eastAsia="仿宋" w:hAnsi="仿宋"/>
                <w:sz w:val="32"/>
                <w:szCs w:val="32"/>
              </w:rPr>
            </w:pPr>
            <w:r w:rsidRPr="00AF0151">
              <w:rPr>
                <w:rFonts w:ascii="仿宋" w:eastAsia="仿宋" w:hAnsi="仿宋"/>
                <w:sz w:val="32"/>
                <w:szCs w:val="32"/>
              </w:rPr>
              <w:t>寄生虫</w:t>
            </w:r>
          </w:p>
        </w:tc>
        <w:tc>
          <w:tcPr>
            <w:tcW w:w="1550" w:type="dxa"/>
            <w:vAlign w:val="center"/>
          </w:tcPr>
          <w:p w14:paraId="6B47D62D" w14:textId="77777777" w:rsidR="00DB2B12" w:rsidRPr="00AF0151" w:rsidRDefault="00DB2B12" w:rsidP="00DB2B12">
            <w:pPr>
              <w:pStyle w:val="aff0"/>
              <w:spacing w:before="100" w:beforeAutospacing="1" w:after="100" w:afterAutospacing="1"/>
              <w:jc w:val="left"/>
              <w:rPr>
                <w:rFonts w:ascii="仿宋" w:eastAsia="仿宋" w:hAnsi="仿宋"/>
                <w:iCs/>
                <w:sz w:val="32"/>
                <w:szCs w:val="32"/>
              </w:rPr>
            </w:pPr>
            <w:r w:rsidRPr="00AF0151">
              <w:rPr>
                <w:rFonts w:ascii="仿宋" w:eastAsia="仿宋" w:hAnsi="仿宋" w:hint="eastAsia"/>
                <w:sz w:val="32"/>
                <w:szCs w:val="32"/>
              </w:rPr>
              <w:t>鲑鱼海虱</w:t>
            </w:r>
          </w:p>
        </w:tc>
        <w:tc>
          <w:tcPr>
            <w:tcW w:w="1749" w:type="dxa"/>
            <w:vAlign w:val="center"/>
          </w:tcPr>
          <w:p w14:paraId="3DF07775"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 xml:space="preserve">体表 </w:t>
            </w:r>
          </w:p>
        </w:tc>
        <w:tc>
          <w:tcPr>
            <w:tcW w:w="1627" w:type="dxa"/>
            <w:vAlign w:val="center"/>
          </w:tcPr>
          <w:p w14:paraId="4D2387C3"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sz w:val="32"/>
                <w:szCs w:val="32"/>
              </w:rPr>
              <w:t>鳃</w:t>
            </w:r>
          </w:p>
        </w:tc>
        <w:tc>
          <w:tcPr>
            <w:tcW w:w="3090" w:type="dxa"/>
            <w:vAlign w:val="center"/>
          </w:tcPr>
          <w:p w14:paraId="671C2FE2"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宜</w:t>
            </w:r>
            <w:r w:rsidRPr="00AF0151">
              <w:rPr>
                <w:rFonts w:ascii="仿宋" w:eastAsia="仿宋" w:hAnsi="仿宋"/>
                <w:sz w:val="32"/>
                <w:szCs w:val="32"/>
              </w:rPr>
              <w:t>进行全鱼体表扫描计数，区分不同发育阶段。</w:t>
            </w:r>
          </w:p>
        </w:tc>
      </w:tr>
      <w:tr w:rsidR="00DB2B12" w:rsidRPr="00AF0151" w14:paraId="714872FE" w14:textId="77777777" w:rsidTr="00284314">
        <w:trPr>
          <w:trHeight w:val="650"/>
          <w:jc w:val="center"/>
        </w:trPr>
        <w:tc>
          <w:tcPr>
            <w:tcW w:w="604" w:type="dxa"/>
            <w:vMerge/>
            <w:vAlign w:val="center"/>
          </w:tcPr>
          <w:p w14:paraId="4479D3EC" w14:textId="77777777" w:rsidR="00DB2B12" w:rsidRPr="00AF0151" w:rsidRDefault="00DB2B12" w:rsidP="00DB2B12">
            <w:pPr>
              <w:pStyle w:val="aff0"/>
              <w:spacing w:before="100" w:beforeAutospacing="1" w:after="100" w:afterAutospacing="1"/>
              <w:rPr>
                <w:rFonts w:ascii="仿宋" w:eastAsia="仿宋" w:hAnsi="仿宋"/>
                <w:sz w:val="32"/>
                <w:szCs w:val="32"/>
              </w:rPr>
            </w:pPr>
          </w:p>
        </w:tc>
        <w:tc>
          <w:tcPr>
            <w:tcW w:w="1550" w:type="dxa"/>
            <w:vAlign w:val="center"/>
          </w:tcPr>
          <w:p w14:paraId="10C3E146"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小瓜虫</w:t>
            </w:r>
          </w:p>
        </w:tc>
        <w:tc>
          <w:tcPr>
            <w:tcW w:w="1749" w:type="dxa"/>
            <w:vAlign w:val="center"/>
          </w:tcPr>
          <w:p w14:paraId="45A5FA6B"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体表，鳍条</w:t>
            </w:r>
          </w:p>
        </w:tc>
        <w:tc>
          <w:tcPr>
            <w:tcW w:w="1627" w:type="dxa"/>
            <w:vAlign w:val="center"/>
          </w:tcPr>
          <w:p w14:paraId="0B84B95C"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鳃</w:t>
            </w:r>
          </w:p>
        </w:tc>
        <w:tc>
          <w:tcPr>
            <w:tcW w:w="3090" w:type="dxa"/>
            <w:vAlign w:val="center"/>
          </w:tcPr>
          <w:p w14:paraId="7DC7B3C4"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从发病群体中采集具有典型症状（体表白点）鱼体。刮取体表部分黏液，并剪取部分鳍和左右鳃的鳃丝，制作水封片进行镜检。</w:t>
            </w:r>
          </w:p>
        </w:tc>
      </w:tr>
      <w:tr w:rsidR="00DB2B12" w:rsidRPr="00AF0151" w14:paraId="37C99C7F" w14:textId="77777777" w:rsidTr="00284314">
        <w:trPr>
          <w:trHeight w:val="650"/>
          <w:jc w:val="center"/>
        </w:trPr>
        <w:tc>
          <w:tcPr>
            <w:tcW w:w="604" w:type="dxa"/>
            <w:vMerge/>
            <w:vAlign w:val="center"/>
          </w:tcPr>
          <w:p w14:paraId="03705FCE" w14:textId="77777777" w:rsidR="00DB2B12" w:rsidRPr="00AF0151" w:rsidRDefault="00DB2B12" w:rsidP="00DB2B12">
            <w:pPr>
              <w:pStyle w:val="aff0"/>
              <w:spacing w:before="100" w:beforeAutospacing="1" w:after="100" w:afterAutospacing="1"/>
              <w:rPr>
                <w:rFonts w:ascii="仿宋" w:eastAsia="仿宋" w:hAnsi="仿宋"/>
                <w:sz w:val="32"/>
                <w:szCs w:val="32"/>
              </w:rPr>
            </w:pPr>
          </w:p>
        </w:tc>
        <w:tc>
          <w:tcPr>
            <w:tcW w:w="1550" w:type="dxa"/>
            <w:vAlign w:val="center"/>
          </w:tcPr>
          <w:p w14:paraId="09181A1C"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三代虫</w:t>
            </w:r>
          </w:p>
        </w:tc>
        <w:tc>
          <w:tcPr>
            <w:tcW w:w="1749" w:type="dxa"/>
            <w:vAlign w:val="center"/>
          </w:tcPr>
          <w:p w14:paraId="7CAE6774"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鳍条</w:t>
            </w:r>
          </w:p>
        </w:tc>
        <w:tc>
          <w:tcPr>
            <w:tcW w:w="1627" w:type="dxa"/>
            <w:vAlign w:val="center"/>
          </w:tcPr>
          <w:p w14:paraId="49C3D1B0"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体表黏液</w:t>
            </w:r>
          </w:p>
        </w:tc>
        <w:tc>
          <w:tcPr>
            <w:tcW w:w="3090" w:type="dxa"/>
            <w:vAlign w:val="center"/>
          </w:tcPr>
          <w:p w14:paraId="78503336" w14:textId="77777777" w:rsidR="00DB2B12" w:rsidRPr="00AF0151" w:rsidRDefault="00DB2B12" w:rsidP="00DB2B12">
            <w:pPr>
              <w:pStyle w:val="aff0"/>
              <w:spacing w:before="100" w:beforeAutospacing="1" w:after="100" w:afterAutospacing="1"/>
              <w:jc w:val="left"/>
              <w:rPr>
                <w:rFonts w:ascii="仿宋" w:eastAsia="仿宋" w:hAnsi="仿宋"/>
                <w:sz w:val="32"/>
                <w:szCs w:val="32"/>
              </w:rPr>
            </w:pPr>
            <w:r w:rsidRPr="00AF0151">
              <w:rPr>
                <w:rFonts w:ascii="仿宋" w:eastAsia="仿宋" w:hAnsi="仿宋" w:hint="eastAsia"/>
                <w:sz w:val="32"/>
                <w:szCs w:val="32"/>
              </w:rPr>
              <w:t>置于清水中，在体视显微镜下直接观察并分离虫体。对于已固定的病鱼，可镜检</w:t>
            </w:r>
            <w:r w:rsidRPr="00AF0151">
              <w:rPr>
                <w:rFonts w:ascii="仿宋" w:eastAsia="仿宋" w:hAnsi="仿宋" w:hint="eastAsia"/>
                <w:sz w:val="32"/>
                <w:szCs w:val="32"/>
              </w:rPr>
              <w:lastRenderedPageBreak/>
              <w:t>浸泡用水底的沉淀物寻找虫体。</w:t>
            </w:r>
          </w:p>
        </w:tc>
      </w:tr>
    </w:tbl>
    <w:p w14:paraId="4C8593F8" w14:textId="77777777" w:rsidR="00610C32" w:rsidRPr="00AF0151" w:rsidRDefault="00186307" w:rsidP="00DB2B12">
      <w:pPr>
        <w:pStyle w:val="4"/>
        <w:adjustRightInd w:val="0"/>
        <w:snapToGrid w:val="0"/>
        <w:spacing w:before="100" w:beforeAutospacing="1" w:after="100" w:afterAutospacing="1"/>
        <w:jc w:val="both"/>
        <w:rPr>
          <w:rFonts w:ascii="仿宋" w:eastAsia="仿宋" w:hAnsi="仿宋"/>
          <w:color w:val="auto"/>
          <w:sz w:val="32"/>
          <w:szCs w:val="32"/>
        </w:rPr>
      </w:pPr>
      <w:bookmarkStart w:id="29" w:name="实验室检测方法体系的优化与构建依据"/>
      <w:bookmarkEnd w:id="14"/>
      <w:r w:rsidRPr="00AF0151">
        <w:rPr>
          <w:rFonts w:ascii="仿宋" w:eastAsia="仿宋" w:hAnsi="仿宋"/>
          <w:color w:val="auto"/>
          <w:sz w:val="32"/>
          <w:szCs w:val="32"/>
        </w:rPr>
        <w:lastRenderedPageBreak/>
        <w:t xml:space="preserve">2.4 </w:t>
      </w:r>
      <w:r w:rsidRPr="00AF0151">
        <w:rPr>
          <w:rFonts w:ascii="仿宋" w:eastAsia="仿宋" w:hAnsi="仿宋" w:hint="eastAsia"/>
          <w:color w:val="auto"/>
          <w:sz w:val="32"/>
          <w:szCs w:val="32"/>
        </w:rPr>
        <w:t>实验室检测方法体系的优化与构建依据</w:t>
      </w:r>
    </w:p>
    <w:p w14:paraId="3B8A7726" w14:textId="77777777" w:rsidR="00186307" w:rsidRPr="00AF0151" w:rsidRDefault="00186307" w:rsidP="00DB2B12">
      <w:pPr>
        <w:pStyle w:val="FirstParagraph"/>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w:t>
      </w:r>
      <w:r w:rsidRPr="00AF0151">
        <w:rPr>
          <w:rFonts w:ascii="仿宋" w:eastAsia="仿宋" w:hAnsi="仿宋"/>
          <w:b/>
          <w:bCs/>
          <w:sz w:val="32"/>
          <w:szCs w:val="32"/>
        </w:rPr>
        <w:t>1</w:t>
      </w:r>
      <w:r w:rsidRPr="00AF0151">
        <w:rPr>
          <w:rFonts w:ascii="仿宋" w:eastAsia="仿宋" w:hAnsi="仿宋" w:hint="eastAsia"/>
          <w:b/>
          <w:bCs/>
          <w:sz w:val="32"/>
          <w:szCs w:val="32"/>
        </w:rPr>
        <w:t>）病原检测方法确立依据</w:t>
      </w:r>
      <w:r w:rsidRPr="00AF0151">
        <w:rPr>
          <w:rFonts w:ascii="仿宋" w:eastAsia="仿宋" w:hAnsi="仿宋" w:hint="eastAsia"/>
          <w:sz w:val="32"/>
          <w:szCs w:val="32"/>
        </w:rPr>
        <w:t>：</w:t>
      </w:r>
    </w:p>
    <w:p w14:paraId="4A09AF6A" w14:textId="77777777" w:rsidR="00186307"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为保障本标准监的技术内容与已有标准方法不冲突，且具有可操作性。起草组充分按GB/T 18088、GB/T 15805</w:t>
      </w:r>
      <w:r w:rsidRPr="00AF0151">
        <w:rPr>
          <w:rFonts w:ascii="MS Gothic" w:eastAsia="MS Gothic" w:hAnsi="MS Gothic" w:cs="MS Gothic" w:hint="eastAsia"/>
          <w:sz w:val="32"/>
          <w:szCs w:val="32"/>
        </w:rPr>
        <w:t> </w:t>
      </w:r>
      <w:r w:rsidRPr="00AF0151">
        <w:rPr>
          <w:rFonts w:ascii="仿宋" w:eastAsia="仿宋" w:hAnsi="仿宋" w:hint="eastAsia"/>
          <w:sz w:val="32"/>
          <w:szCs w:val="32"/>
        </w:rPr>
        <w:t>、GB/T 34734-2017、GB/T 47226—2026、G</w:t>
      </w:r>
      <w:r w:rsidRPr="00AF0151">
        <w:rPr>
          <w:rFonts w:ascii="仿宋" w:eastAsia="仿宋" w:hAnsi="仿宋"/>
          <w:sz w:val="32"/>
          <w:szCs w:val="32"/>
        </w:rPr>
        <w:t>B/T 47228</w:t>
      </w:r>
      <w:r w:rsidRPr="00AF0151">
        <w:rPr>
          <w:rFonts w:ascii="仿宋" w:eastAsia="仿宋" w:hAnsi="仿宋" w:hint="eastAsia"/>
          <w:sz w:val="32"/>
          <w:szCs w:val="32"/>
        </w:rPr>
        <w:t>—</w:t>
      </w:r>
      <w:r w:rsidRPr="00AF0151">
        <w:rPr>
          <w:rFonts w:ascii="仿宋" w:eastAsia="仿宋" w:hAnsi="仿宋"/>
          <w:sz w:val="32"/>
          <w:szCs w:val="32"/>
        </w:rPr>
        <w:t>2026</w:t>
      </w:r>
      <w:r w:rsidRPr="00AF0151">
        <w:rPr>
          <w:rFonts w:ascii="仿宋" w:eastAsia="仿宋" w:hAnsi="仿宋" w:hint="eastAsia"/>
          <w:sz w:val="32"/>
          <w:szCs w:val="32"/>
        </w:rPr>
        <w:t>、SC/T 7219.1—2015、SC/T 7226—2017、SC/T 7215—2021、S</w:t>
      </w:r>
      <w:r w:rsidRPr="00AF0151">
        <w:rPr>
          <w:rFonts w:ascii="仿宋" w:eastAsia="仿宋" w:hAnsi="仿宋"/>
          <w:sz w:val="32"/>
          <w:szCs w:val="32"/>
        </w:rPr>
        <w:t>C/T 7245</w:t>
      </w:r>
      <w:r w:rsidRPr="00AF0151">
        <w:rPr>
          <w:rFonts w:ascii="仿宋" w:eastAsia="仿宋" w:hAnsi="仿宋" w:hint="eastAsia"/>
          <w:sz w:val="32"/>
          <w:szCs w:val="32"/>
        </w:rPr>
        <w:t>—</w:t>
      </w:r>
      <w:r w:rsidRPr="00AF0151">
        <w:rPr>
          <w:rFonts w:ascii="仿宋" w:eastAsia="仿宋" w:hAnsi="仿宋"/>
          <w:sz w:val="32"/>
          <w:szCs w:val="32"/>
        </w:rPr>
        <w:t>2025</w:t>
      </w:r>
      <w:r w:rsidRPr="00AF0151">
        <w:rPr>
          <w:rFonts w:ascii="仿宋" w:eastAsia="仿宋" w:hAnsi="仿宋" w:hint="eastAsia"/>
          <w:sz w:val="32"/>
          <w:szCs w:val="32"/>
        </w:rPr>
        <w:t>、SN/T 2976—2011和SN/T 2734—2020中规定，同时参考W</w:t>
      </w:r>
      <w:r w:rsidRPr="00AF0151">
        <w:rPr>
          <w:rFonts w:ascii="仿宋" w:eastAsia="仿宋" w:hAnsi="仿宋"/>
          <w:sz w:val="32"/>
          <w:szCs w:val="32"/>
        </w:rPr>
        <w:t>OAH</w:t>
      </w:r>
      <w:r w:rsidRPr="00AF0151">
        <w:rPr>
          <w:rFonts w:ascii="仿宋" w:eastAsia="仿宋" w:hAnsi="仿宋" w:hint="eastAsia"/>
          <w:sz w:val="32"/>
          <w:szCs w:val="32"/>
        </w:rPr>
        <w:t>《水生动物疫病诊断手册》及公开发表文献，比较、统计了涉及1</w:t>
      </w:r>
      <w:r w:rsidRPr="00AF0151">
        <w:rPr>
          <w:rFonts w:ascii="仿宋" w:eastAsia="仿宋" w:hAnsi="仿宋"/>
          <w:sz w:val="32"/>
          <w:szCs w:val="32"/>
        </w:rPr>
        <w:t>3</w:t>
      </w:r>
      <w:r w:rsidRPr="00AF0151">
        <w:rPr>
          <w:rFonts w:ascii="仿宋" w:eastAsia="仿宋" w:hAnsi="仿宋" w:hint="eastAsia"/>
          <w:sz w:val="32"/>
          <w:szCs w:val="32"/>
        </w:rPr>
        <w:t>种疫病病原的检测方法汇总见表2</w:t>
      </w:r>
      <w:r w:rsidRPr="00AF0151">
        <w:rPr>
          <w:rFonts w:ascii="仿宋" w:eastAsia="仿宋" w:hAnsi="仿宋"/>
          <w:sz w:val="32"/>
          <w:szCs w:val="32"/>
        </w:rPr>
        <w:t>-2</w:t>
      </w:r>
      <w:r w:rsidRPr="00AF0151">
        <w:rPr>
          <w:rFonts w:ascii="仿宋" w:eastAsia="仿宋" w:hAnsi="仿宋" w:hint="eastAsia"/>
          <w:sz w:val="32"/>
          <w:szCs w:val="32"/>
        </w:rPr>
        <w:t>。随着分子诊断技术的迭代，本标准在检测方法上实现了“传统金标准”与“现代高通量分子筛查”的互补，为监测提供了首选技术方案。</w:t>
      </w:r>
    </w:p>
    <w:p w14:paraId="709B61B4" w14:textId="77777777" w:rsidR="00186307" w:rsidRPr="00AF0151" w:rsidRDefault="00186307" w:rsidP="00DB2B12">
      <w:pPr>
        <w:pStyle w:val="a1"/>
        <w:spacing w:before="100" w:beforeAutospacing="1" w:after="100" w:afterAutospacing="1"/>
        <w:jc w:val="center"/>
        <w:rPr>
          <w:rFonts w:ascii="仿宋" w:eastAsia="仿宋" w:hAnsi="仿宋"/>
          <w:sz w:val="32"/>
          <w:szCs w:val="32"/>
        </w:rPr>
      </w:pPr>
      <w:r w:rsidRPr="00AF0151">
        <w:rPr>
          <w:rFonts w:ascii="仿宋" w:eastAsia="仿宋" w:hAnsi="仿宋" w:hint="eastAsia"/>
          <w:sz w:val="32"/>
          <w:szCs w:val="32"/>
        </w:rPr>
        <w:t>表2</w:t>
      </w:r>
      <w:r w:rsidRPr="00AF0151">
        <w:rPr>
          <w:rFonts w:ascii="仿宋" w:eastAsia="仿宋" w:hAnsi="仿宋"/>
          <w:sz w:val="32"/>
          <w:szCs w:val="32"/>
        </w:rPr>
        <w:t xml:space="preserve">-2 </w:t>
      </w:r>
      <w:r w:rsidRPr="00AF0151">
        <w:rPr>
          <w:rFonts w:ascii="仿宋" w:eastAsia="仿宋" w:hAnsi="仿宋" w:hint="eastAsia"/>
          <w:sz w:val="32"/>
          <w:szCs w:val="32"/>
        </w:rPr>
        <w:t>病原检测方法确立依据</w:t>
      </w:r>
    </w:p>
    <w:tbl>
      <w:tblPr>
        <w:tblW w:w="8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1791"/>
        <w:gridCol w:w="2292"/>
        <w:gridCol w:w="1193"/>
        <w:gridCol w:w="2082"/>
      </w:tblGrid>
      <w:tr w:rsidR="0033345F" w:rsidRPr="00AF0151" w14:paraId="522FD526" w14:textId="77777777" w:rsidTr="00DB2B12">
        <w:trPr>
          <w:trHeight w:val="654"/>
        </w:trPr>
        <w:tc>
          <w:tcPr>
            <w:tcW w:w="1244" w:type="dxa"/>
            <w:noWrap/>
            <w:vAlign w:val="center"/>
            <w:hideMark/>
          </w:tcPr>
          <w:p w14:paraId="14001B52"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病原名称</w:t>
            </w:r>
          </w:p>
        </w:tc>
        <w:tc>
          <w:tcPr>
            <w:tcW w:w="1791" w:type="dxa"/>
            <w:noWrap/>
            <w:vAlign w:val="center"/>
            <w:hideMark/>
          </w:tcPr>
          <w:p w14:paraId="6324E60A" w14:textId="77777777" w:rsidR="0064760A" w:rsidRPr="00AF0151" w:rsidRDefault="00186307"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首选</w:t>
            </w:r>
            <w:r w:rsidR="0064760A" w:rsidRPr="00AF0151">
              <w:rPr>
                <w:rFonts w:ascii="仿宋" w:eastAsia="仿宋" w:hAnsi="仿宋" w:hint="eastAsia"/>
                <w:sz w:val="32"/>
                <w:szCs w:val="32"/>
              </w:rPr>
              <w:t>检测方法</w:t>
            </w:r>
          </w:p>
        </w:tc>
        <w:tc>
          <w:tcPr>
            <w:tcW w:w="2292" w:type="dxa"/>
            <w:noWrap/>
            <w:vAlign w:val="center"/>
            <w:hideMark/>
          </w:tcPr>
          <w:p w14:paraId="1999F1E4"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备选检测方法</w:t>
            </w:r>
          </w:p>
        </w:tc>
        <w:tc>
          <w:tcPr>
            <w:tcW w:w="1193" w:type="dxa"/>
            <w:noWrap/>
            <w:vAlign w:val="center"/>
            <w:hideMark/>
          </w:tcPr>
          <w:p w14:paraId="41E16CA7"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其他方法</w:t>
            </w:r>
          </w:p>
        </w:tc>
        <w:tc>
          <w:tcPr>
            <w:tcW w:w="2082" w:type="dxa"/>
            <w:noWrap/>
            <w:vAlign w:val="center"/>
            <w:hideMark/>
          </w:tcPr>
          <w:p w14:paraId="00121EAF"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方法出处</w:t>
            </w:r>
          </w:p>
        </w:tc>
      </w:tr>
      <w:tr w:rsidR="0033345F" w:rsidRPr="00AF0151" w14:paraId="18E529C8" w14:textId="77777777" w:rsidTr="00DB2B12">
        <w:trPr>
          <w:trHeight w:val="463"/>
        </w:trPr>
        <w:tc>
          <w:tcPr>
            <w:tcW w:w="1244" w:type="dxa"/>
            <w:noWrap/>
            <w:vAlign w:val="center"/>
            <w:hideMark/>
          </w:tcPr>
          <w:p w14:paraId="1010E7C7"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IHNV</w:t>
            </w:r>
          </w:p>
        </w:tc>
        <w:tc>
          <w:tcPr>
            <w:tcW w:w="1791" w:type="dxa"/>
            <w:noWrap/>
            <w:vAlign w:val="center"/>
            <w:hideMark/>
          </w:tcPr>
          <w:p w14:paraId="73987DA7"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RT-PCR</w:t>
            </w:r>
          </w:p>
        </w:tc>
        <w:tc>
          <w:tcPr>
            <w:tcW w:w="2292" w:type="dxa"/>
            <w:noWrap/>
            <w:vAlign w:val="center"/>
            <w:hideMark/>
          </w:tcPr>
          <w:p w14:paraId="3C1970FF"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病毒分离与细胞实验</w:t>
            </w:r>
          </w:p>
        </w:tc>
        <w:tc>
          <w:tcPr>
            <w:tcW w:w="1193" w:type="dxa"/>
            <w:noWrap/>
            <w:vAlign w:val="center"/>
            <w:hideMark/>
          </w:tcPr>
          <w:p w14:paraId="3710ADE5"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细胞分离</w:t>
            </w:r>
          </w:p>
        </w:tc>
        <w:tc>
          <w:tcPr>
            <w:tcW w:w="2082" w:type="dxa"/>
            <w:noWrap/>
            <w:vAlign w:val="center"/>
            <w:hideMark/>
          </w:tcPr>
          <w:p w14:paraId="15EBFA11"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GB/T 15805.2-2017</w:t>
            </w:r>
          </w:p>
        </w:tc>
      </w:tr>
      <w:tr w:rsidR="0033345F" w:rsidRPr="00AF0151" w14:paraId="4866234A" w14:textId="77777777" w:rsidTr="00DB2B12">
        <w:trPr>
          <w:trHeight w:val="463"/>
        </w:trPr>
        <w:tc>
          <w:tcPr>
            <w:tcW w:w="1244" w:type="dxa"/>
            <w:noWrap/>
            <w:vAlign w:val="center"/>
            <w:hideMark/>
          </w:tcPr>
          <w:p w14:paraId="2A809BB3"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IPNV</w:t>
            </w:r>
          </w:p>
        </w:tc>
        <w:tc>
          <w:tcPr>
            <w:tcW w:w="1791" w:type="dxa"/>
            <w:noWrap/>
            <w:vAlign w:val="center"/>
            <w:hideMark/>
          </w:tcPr>
          <w:p w14:paraId="22E1E4CA"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RT-qPCR、RT-PCR</w:t>
            </w:r>
          </w:p>
        </w:tc>
        <w:tc>
          <w:tcPr>
            <w:tcW w:w="2292" w:type="dxa"/>
            <w:noWrap/>
            <w:vAlign w:val="center"/>
            <w:hideMark/>
          </w:tcPr>
          <w:p w14:paraId="4F12ED27"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病毒分离与细胞实验</w:t>
            </w:r>
          </w:p>
        </w:tc>
        <w:tc>
          <w:tcPr>
            <w:tcW w:w="1193" w:type="dxa"/>
            <w:noWrap/>
            <w:vAlign w:val="center"/>
            <w:hideMark/>
          </w:tcPr>
          <w:p w14:paraId="2420CDDB"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中和试验、ELISA</w:t>
            </w:r>
          </w:p>
        </w:tc>
        <w:tc>
          <w:tcPr>
            <w:tcW w:w="2082" w:type="dxa"/>
            <w:noWrap/>
            <w:vAlign w:val="center"/>
            <w:hideMark/>
          </w:tcPr>
          <w:p w14:paraId="1986187D"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GB/T 47228—2026</w:t>
            </w:r>
          </w:p>
        </w:tc>
      </w:tr>
      <w:tr w:rsidR="0033345F" w:rsidRPr="00AF0151" w14:paraId="41703D00" w14:textId="77777777" w:rsidTr="00DB2B12">
        <w:trPr>
          <w:trHeight w:val="463"/>
        </w:trPr>
        <w:tc>
          <w:tcPr>
            <w:tcW w:w="1244" w:type="dxa"/>
            <w:noWrap/>
            <w:vAlign w:val="center"/>
            <w:hideMark/>
          </w:tcPr>
          <w:p w14:paraId="1164AA59"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lastRenderedPageBreak/>
              <w:t>VHSV</w:t>
            </w:r>
          </w:p>
        </w:tc>
        <w:tc>
          <w:tcPr>
            <w:tcW w:w="1791" w:type="dxa"/>
            <w:noWrap/>
            <w:vAlign w:val="center"/>
            <w:hideMark/>
          </w:tcPr>
          <w:p w14:paraId="5DE7D15A"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RT-qPCR、RT-PCR</w:t>
            </w:r>
          </w:p>
        </w:tc>
        <w:tc>
          <w:tcPr>
            <w:tcW w:w="2292" w:type="dxa"/>
            <w:noWrap/>
            <w:vAlign w:val="center"/>
            <w:hideMark/>
          </w:tcPr>
          <w:p w14:paraId="21574C4E"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中和试验、ELISA</w:t>
            </w:r>
          </w:p>
        </w:tc>
        <w:tc>
          <w:tcPr>
            <w:tcW w:w="1193" w:type="dxa"/>
            <w:noWrap/>
            <w:vAlign w:val="center"/>
            <w:hideMark/>
          </w:tcPr>
          <w:p w14:paraId="2D170150"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p>
        </w:tc>
        <w:tc>
          <w:tcPr>
            <w:tcW w:w="2082" w:type="dxa"/>
            <w:noWrap/>
            <w:vAlign w:val="center"/>
            <w:hideMark/>
          </w:tcPr>
          <w:p w14:paraId="669A1DA5"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GB/T 15805.3-2018</w:t>
            </w:r>
          </w:p>
        </w:tc>
      </w:tr>
      <w:tr w:rsidR="0033345F" w:rsidRPr="00AF0151" w14:paraId="37EB1A32" w14:textId="77777777" w:rsidTr="00DB2B12">
        <w:trPr>
          <w:trHeight w:val="463"/>
        </w:trPr>
        <w:tc>
          <w:tcPr>
            <w:tcW w:w="1244" w:type="dxa"/>
            <w:noWrap/>
            <w:vAlign w:val="center"/>
            <w:hideMark/>
          </w:tcPr>
          <w:p w14:paraId="09E0FEB9"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SAV</w:t>
            </w:r>
          </w:p>
        </w:tc>
        <w:tc>
          <w:tcPr>
            <w:tcW w:w="1791" w:type="dxa"/>
            <w:noWrap/>
            <w:vAlign w:val="center"/>
            <w:hideMark/>
          </w:tcPr>
          <w:p w14:paraId="1798AAE5"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PCR</w:t>
            </w:r>
          </w:p>
        </w:tc>
        <w:tc>
          <w:tcPr>
            <w:tcW w:w="2292" w:type="dxa"/>
            <w:noWrap/>
            <w:vAlign w:val="center"/>
            <w:hideMark/>
          </w:tcPr>
          <w:p w14:paraId="56E0C2B2"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病毒分离与细胞实验</w:t>
            </w:r>
          </w:p>
        </w:tc>
        <w:tc>
          <w:tcPr>
            <w:tcW w:w="1193" w:type="dxa"/>
            <w:noWrap/>
            <w:vAlign w:val="center"/>
            <w:hideMark/>
          </w:tcPr>
          <w:p w14:paraId="079A06A7"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p>
        </w:tc>
        <w:tc>
          <w:tcPr>
            <w:tcW w:w="2082" w:type="dxa"/>
            <w:noWrap/>
            <w:vAlign w:val="center"/>
            <w:hideMark/>
          </w:tcPr>
          <w:p w14:paraId="3AFDDBEE"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SC/T 7226—2017</w:t>
            </w:r>
          </w:p>
        </w:tc>
      </w:tr>
      <w:tr w:rsidR="0033345F" w:rsidRPr="00AF0151" w14:paraId="3FEC88FA" w14:textId="77777777" w:rsidTr="00DB2B12">
        <w:trPr>
          <w:trHeight w:val="463"/>
        </w:trPr>
        <w:tc>
          <w:tcPr>
            <w:tcW w:w="1244" w:type="dxa"/>
            <w:noWrap/>
            <w:vAlign w:val="center"/>
            <w:hideMark/>
          </w:tcPr>
          <w:p w14:paraId="5158B6BF"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ISAV</w:t>
            </w:r>
          </w:p>
        </w:tc>
        <w:tc>
          <w:tcPr>
            <w:tcW w:w="1791" w:type="dxa"/>
            <w:noWrap/>
            <w:vAlign w:val="center"/>
            <w:hideMark/>
          </w:tcPr>
          <w:p w14:paraId="53679B45"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RT-qPCR、RT-PCR</w:t>
            </w:r>
          </w:p>
        </w:tc>
        <w:tc>
          <w:tcPr>
            <w:tcW w:w="2292" w:type="dxa"/>
            <w:noWrap/>
            <w:vAlign w:val="center"/>
            <w:hideMark/>
          </w:tcPr>
          <w:p w14:paraId="48BC96C2"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病毒分离与细胞实验</w:t>
            </w:r>
          </w:p>
        </w:tc>
        <w:tc>
          <w:tcPr>
            <w:tcW w:w="1193" w:type="dxa"/>
            <w:noWrap/>
            <w:vAlign w:val="center"/>
            <w:hideMark/>
          </w:tcPr>
          <w:p w14:paraId="05F07183"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p>
        </w:tc>
        <w:tc>
          <w:tcPr>
            <w:tcW w:w="2082" w:type="dxa"/>
            <w:noWrap/>
            <w:vAlign w:val="center"/>
            <w:hideMark/>
          </w:tcPr>
          <w:p w14:paraId="743F6AAE"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SN/T 2734-2020</w:t>
            </w:r>
          </w:p>
        </w:tc>
      </w:tr>
      <w:tr w:rsidR="0033345F" w:rsidRPr="00AF0151" w14:paraId="345768DD" w14:textId="77777777" w:rsidTr="00DB2B12">
        <w:trPr>
          <w:trHeight w:val="463"/>
        </w:trPr>
        <w:tc>
          <w:tcPr>
            <w:tcW w:w="1244" w:type="dxa"/>
            <w:noWrap/>
            <w:vAlign w:val="center"/>
            <w:hideMark/>
          </w:tcPr>
          <w:p w14:paraId="704FAAB8"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EHNV</w:t>
            </w:r>
          </w:p>
        </w:tc>
        <w:tc>
          <w:tcPr>
            <w:tcW w:w="1791" w:type="dxa"/>
            <w:noWrap/>
            <w:vAlign w:val="center"/>
            <w:hideMark/>
          </w:tcPr>
          <w:p w14:paraId="3B55551F"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PCR</w:t>
            </w:r>
          </w:p>
        </w:tc>
        <w:tc>
          <w:tcPr>
            <w:tcW w:w="2292" w:type="dxa"/>
            <w:noWrap/>
            <w:vAlign w:val="center"/>
            <w:hideMark/>
          </w:tcPr>
          <w:p w14:paraId="53AF5EE7"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病毒分离与细胞实验</w:t>
            </w:r>
          </w:p>
        </w:tc>
        <w:tc>
          <w:tcPr>
            <w:tcW w:w="1193" w:type="dxa"/>
            <w:noWrap/>
            <w:vAlign w:val="center"/>
            <w:hideMark/>
          </w:tcPr>
          <w:p w14:paraId="09D89931"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ELISA</w:t>
            </w:r>
          </w:p>
        </w:tc>
        <w:tc>
          <w:tcPr>
            <w:tcW w:w="2082" w:type="dxa"/>
            <w:noWrap/>
            <w:vAlign w:val="center"/>
            <w:hideMark/>
          </w:tcPr>
          <w:p w14:paraId="55799509"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SC/T 7215-2021</w:t>
            </w:r>
          </w:p>
        </w:tc>
      </w:tr>
      <w:tr w:rsidR="0033345F" w:rsidRPr="00AF0151" w14:paraId="6CB0E9C3" w14:textId="77777777" w:rsidTr="00DB2B12">
        <w:trPr>
          <w:trHeight w:val="463"/>
        </w:trPr>
        <w:tc>
          <w:tcPr>
            <w:tcW w:w="1244" w:type="dxa"/>
            <w:noWrap/>
            <w:vAlign w:val="center"/>
            <w:hideMark/>
          </w:tcPr>
          <w:p w14:paraId="185EC406"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sz w:val="32"/>
                <w:szCs w:val="32"/>
              </w:rPr>
              <w:t>PRV</w:t>
            </w:r>
          </w:p>
        </w:tc>
        <w:tc>
          <w:tcPr>
            <w:tcW w:w="1791" w:type="dxa"/>
            <w:noWrap/>
            <w:vAlign w:val="center"/>
            <w:hideMark/>
          </w:tcPr>
          <w:p w14:paraId="0692D693"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sz w:val="32"/>
                <w:szCs w:val="32"/>
              </w:rPr>
              <w:t>RT-qPCR</w:t>
            </w:r>
          </w:p>
        </w:tc>
        <w:tc>
          <w:tcPr>
            <w:tcW w:w="2292" w:type="dxa"/>
            <w:noWrap/>
            <w:vAlign w:val="center"/>
            <w:hideMark/>
          </w:tcPr>
          <w:p w14:paraId="4A3E8850"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 xml:space="preserve">　</w:t>
            </w:r>
          </w:p>
        </w:tc>
        <w:tc>
          <w:tcPr>
            <w:tcW w:w="1193" w:type="dxa"/>
            <w:noWrap/>
            <w:vAlign w:val="center"/>
            <w:hideMark/>
          </w:tcPr>
          <w:p w14:paraId="5C0046C5"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 xml:space="preserve">　</w:t>
            </w:r>
          </w:p>
        </w:tc>
        <w:tc>
          <w:tcPr>
            <w:tcW w:w="2082" w:type="dxa"/>
            <w:noWrap/>
            <w:vAlign w:val="center"/>
            <w:hideMark/>
          </w:tcPr>
          <w:p w14:paraId="11A7C804"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sz w:val="32"/>
                <w:szCs w:val="32"/>
              </w:rPr>
              <w:t>Zhao JL等，2021</w:t>
            </w:r>
          </w:p>
        </w:tc>
      </w:tr>
      <w:tr w:rsidR="0033345F" w:rsidRPr="00AF0151" w14:paraId="5B4F53D7" w14:textId="77777777" w:rsidTr="00DB2B12">
        <w:trPr>
          <w:trHeight w:val="463"/>
        </w:trPr>
        <w:tc>
          <w:tcPr>
            <w:tcW w:w="1244" w:type="dxa"/>
            <w:noWrap/>
            <w:vAlign w:val="center"/>
            <w:hideMark/>
          </w:tcPr>
          <w:p w14:paraId="5A04D367"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P. s</w:t>
            </w:r>
          </w:p>
        </w:tc>
        <w:tc>
          <w:tcPr>
            <w:tcW w:w="1791" w:type="dxa"/>
            <w:noWrap/>
            <w:vAlign w:val="center"/>
            <w:hideMark/>
          </w:tcPr>
          <w:p w14:paraId="062EF01C"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套式PCR</w:t>
            </w:r>
          </w:p>
        </w:tc>
        <w:tc>
          <w:tcPr>
            <w:tcW w:w="2292" w:type="dxa"/>
            <w:noWrap/>
            <w:vAlign w:val="center"/>
            <w:hideMark/>
          </w:tcPr>
          <w:p w14:paraId="51BE25E8"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p>
        </w:tc>
        <w:tc>
          <w:tcPr>
            <w:tcW w:w="1193" w:type="dxa"/>
            <w:noWrap/>
            <w:vAlign w:val="center"/>
            <w:hideMark/>
          </w:tcPr>
          <w:p w14:paraId="06C116EB"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p>
        </w:tc>
        <w:tc>
          <w:tcPr>
            <w:tcW w:w="2082" w:type="dxa"/>
            <w:noWrap/>
            <w:vAlign w:val="center"/>
            <w:hideMark/>
          </w:tcPr>
          <w:p w14:paraId="3898DC7C"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SN/T 2976-2011</w:t>
            </w:r>
          </w:p>
        </w:tc>
      </w:tr>
      <w:tr w:rsidR="0033345F" w:rsidRPr="00AF0151" w14:paraId="7ABEA9C3" w14:textId="77777777" w:rsidTr="00DB2B12">
        <w:trPr>
          <w:trHeight w:val="463"/>
        </w:trPr>
        <w:tc>
          <w:tcPr>
            <w:tcW w:w="1244" w:type="dxa"/>
            <w:noWrap/>
            <w:vAlign w:val="center"/>
            <w:hideMark/>
          </w:tcPr>
          <w:p w14:paraId="0D50544C"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R. s</w:t>
            </w:r>
          </w:p>
        </w:tc>
        <w:tc>
          <w:tcPr>
            <w:tcW w:w="1791" w:type="dxa"/>
            <w:noWrap/>
            <w:vAlign w:val="center"/>
            <w:hideMark/>
          </w:tcPr>
          <w:p w14:paraId="5DBE9E61"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套式PCR</w:t>
            </w:r>
          </w:p>
        </w:tc>
        <w:tc>
          <w:tcPr>
            <w:tcW w:w="2292" w:type="dxa"/>
            <w:noWrap/>
            <w:vAlign w:val="center"/>
            <w:hideMark/>
          </w:tcPr>
          <w:p w14:paraId="74CEE6F9"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组织印片</w:t>
            </w:r>
          </w:p>
        </w:tc>
        <w:tc>
          <w:tcPr>
            <w:tcW w:w="1193" w:type="dxa"/>
            <w:noWrap/>
            <w:vAlign w:val="center"/>
            <w:hideMark/>
          </w:tcPr>
          <w:p w14:paraId="407FC256"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p>
        </w:tc>
        <w:tc>
          <w:tcPr>
            <w:tcW w:w="2082" w:type="dxa"/>
            <w:noWrap/>
            <w:vAlign w:val="center"/>
            <w:hideMark/>
          </w:tcPr>
          <w:p w14:paraId="004F3C08"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SC/T 7245-2025</w:t>
            </w:r>
          </w:p>
        </w:tc>
      </w:tr>
      <w:tr w:rsidR="0033345F" w:rsidRPr="00AF0151" w14:paraId="04CEDA5E" w14:textId="77777777" w:rsidTr="00DB2B12">
        <w:trPr>
          <w:trHeight w:val="463"/>
        </w:trPr>
        <w:tc>
          <w:tcPr>
            <w:tcW w:w="1244" w:type="dxa"/>
            <w:noWrap/>
            <w:vAlign w:val="center"/>
            <w:hideMark/>
          </w:tcPr>
          <w:p w14:paraId="7F839A25"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proofErr w:type="gramStart"/>
            <w:r w:rsidRPr="00AF0151">
              <w:rPr>
                <w:rFonts w:ascii="仿宋" w:eastAsia="仿宋" w:hAnsi="仿宋" w:hint="eastAsia"/>
                <w:sz w:val="32"/>
                <w:szCs w:val="32"/>
              </w:rPr>
              <w:t>A.s</w:t>
            </w:r>
            <w:proofErr w:type="gramEnd"/>
          </w:p>
        </w:tc>
        <w:tc>
          <w:tcPr>
            <w:tcW w:w="1791" w:type="dxa"/>
            <w:noWrap/>
            <w:vAlign w:val="center"/>
            <w:hideMark/>
          </w:tcPr>
          <w:p w14:paraId="76BD72DA"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qPCR、PCR</w:t>
            </w:r>
          </w:p>
        </w:tc>
        <w:tc>
          <w:tcPr>
            <w:tcW w:w="2292" w:type="dxa"/>
            <w:noWrap/>
            <w:vAlign w:val="center"/>
            <w:hideMark/>
          </w:tcPr>
          <w:p w14:paraId="5CEC074F"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PCR</w:t>
            </w:r>
          </w:p>
        </w:tc>
        <w:tc>
          <w:tcPr>
            <w:tcW w:w="1193" w:type="dxa"/>
            <w:noWrap/>
            <w:vAlign w:val="center"/>
            <w:hideMark/>
          </w:tcPr>
          <w:p w14:paraId="65E1541D"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分离纯化</w:t>
            </w:r>
          </w:p>
        </w:tc>
        <w:tc>
          <w:tcPr>
            <w:tcW w:w="2082" w:type="dxa"/>
            <w:noWrap/>
            <w:vAlign w:val="center"/>
            <w:hideMark/>
          </w:tcPr>
          <w:p w14:paraId="1064C464"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GB/T 47226—2026</w:t>
            </w:r>
          </w:p>
        </w:tc>
      </w:tr>
      <w:tr w:rsidR="0033345F" w:rsidRPr="00AF0151" w14:paraId="2AEE13E7" w14:textId="77777777" w:rsidTr="00DB2B12">
        <w:trPr>
          <w:trHeight w:val="463"/>
        </w:trPr>
        <w:tc>
          <w:tcPr>
            <w:tcW w:w="1244" w:type="dxa"/>
            <w:noWrap/>
            <w:vAlign w:val="center"/>
            <w:hideMark/>
          </w:tcPr>
          <w:p w14:paraId="0E9BF7CE"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海</w:t>
            </w:r>
            <w:proofErr w:type="gramStart"/>
            <w:r w:rsidRPr="00AF0151">
              <w:rPr>
                <w:rFonts w:ascii="仿宋" w:eastAsia="仿宋" w:hAnsi="仿宋" w:hint="eastAsia"/>
                <w:sz w:val="32"/>
                <w:szCs w:val="32"/>
              </w:rPr>
              <w:t>虱</w:t>
            </w:r>
            <w:proofErr w:type="gramEnd"/>
          </w:p>
        </w:tc>
        <w:tc>
          <w:tcPr>
            <w:tcW w:w="1791" w:type="dxa"/>
            <w:noWrap/>
            <w:vAlign w:val="center"/>
            <w:hideMark/>
          </w:tcPr>
          <w:p w14:paraId="107E6165"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镜检、</w:t>
            </w:r>
            <w:r w:rsidRPr="00AF0151">
              <w:rPr>
                <w:rFonts w:ascii="仿宋" w:eastAsia="仿宋" w:hAnsi="仿宋"/>
                <w:sz w:val="32"/>
                <w:szCs w:val="32"/>
              </w:rPr>
              <w:t>qPCR</w:t>
            </w:r>
          </w:p>
        </w:tc>
        <w:tc>
          <w:tcPr>
            <w:tcW w:w="2292" w:type="dxa"/>
            <w:noWrap/>
            <w:vAlign w:val="center"/>
            <w:hideMark/>
          </w:tcPr>
          <w:p w14:paraId="5B6B2513"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 xml:space="preserve">　</w:t>
            </w:r>
          </w:p>
        </w:tc>
        <w:tc>
          <w:tcPr>
            <w:tcW w:w="1193" w:type="dxa"/>
            <w:noWrap/>
            <w:vAlign w:val="center"/>
            <w:hideMark/>
          </w:tcPr>
          <w:p w14:paraId="387A2B63"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 xml:space="preserve">　</w:t>
            </w:r>
          </w:p>
        </w:tc>
        <w:tc>
          <w:tcPr>
            <w:tcW w:w="2082" w:type="dxa"/>
            <w:noWrap/>
            <w:vAlign w:val="center"/>
            <w:hideMark/>
          </w:tcPr>
          <w:p w14:paraId="41DF3481"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田城</w:t>
            </w:r>
            <w:proofErr w:type="gramStart"/>
            <w:r w:rsidRPr="00AF0151">
              <w:rPr>
                <w:rFonts w:ascii="仿宋" w:eastAsia="仿宋" w:hAnsi="仿宋" w:hint="eastAsia"/>
                <w:sz w:val="32"/>
                <w:szCs w:val="32"/>
              </w:rPr>
              <w:t>城</w:t>
            </w:r>
            <w:proofErr w:type="gramEnd"/>
            <w:r w:rsidRPr="00AF0151">
              <w:rPr>
                <w:rFonts w:ascii="仿宋" w:eastAsia="仿宋" w:hAnsi="仿宋" w:hint="eastAsia"/>
                <w:sz w:val="32"/>
                <w:szCs w:val="32"/>
              </w:rPr>
              <w:t>等，</w:t>
            </w:r>
            <w:r w:rsidRPr="00AF0151">
              <w:rPr>
                <w:rFonts w:ascii="仿宋" w:eastAsia="仿宋" w:hAnsi="仿宋"/>
                <w:sz w:val="32"/>
                <w:szCs w:val="32"/>
              </w:rPr>
              <w:t>2021</w:t>
            </w:r>
          </w:p>
        </w:tc>
      </w:tr>
      <w:tr w:rsidR="0033345F" w:rsidRPr="00AF0151" w14:paraId="25151E72" w14:textId="77777777" w:rsidTr="00DB2B12">
        <w:trPr>
          <w:trHeight w:val="463"/>
        </w:trPr>
        <w:tc>
          <w:tcPr>
            <w:tcW w:w="1244" w:type="dxa"/>
            <w:noWrap/>
            <w:vAlign w:val="center"/>
            <w:hideMark/>
          </w:tcPr>
          <w:p w14:paraId="0A7E52FF"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小瓜虫</w:t>
            </w:r>
          </w:p>
        </w:tc>
        <w:tc>
          <w:tcPr>
            <w:tcW w:w="1791" w:type="dxa"/>
            <w:noWrap/>
            <w:vAlign w:val="center"/>
            <w:hideMark/>
          </w:tcPr>
          <w:p w14:paraId="2B42BE74"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剖检，镜检</w:t>
            </w:r>
          </w:p>
        </w:tc>
        <w:tc>
          <w:tcPr>
            <w:tcW w:w="2292" w:type="dxa"/>
            <w:noWrap/>
            <w:vAlign w:val="center"/>
            <w:hideMark/>
          </w:tcPr>
          <w:p w14:paraId="3A913C5C"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p>
        </w:tc>
        <w:tc>
          <w:tcPr>
            <w:tcW w:w="1193" w:type="dxa"/>
            <w:noWrap/>
            <w:vAlign w:val="center"/>
            <w:hideMark/>
          </w:tcPr>
          <w:p w14:paraId="70C5758D"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p>
        </w:tc>
        <w:tc>
          <w:tcPr>
            <w:tcW w:w="2082" w:type="dxa"/>
            <w:noWrap/>
            <w:vAlign w:val="center"/>
            <w:hideMark/>
          </w:tcPr>
          <w:p w14:paraId="623BA426"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GB/T 34734—2017</w:t>
            </w:r>
          </w:p>
        </w:tc>
      </w:tr>
      <w:tr w:rsidR="0033345F" w:rsidRPr="00AF0151" w14:paraId="30062CE4" w14:textId="77777777" w:rsidTr="00DB2B12">
        <w:trPr>
          <w:trHeight w:val="463"/>
        </w:trPr>
        <w:tc>
          <w:tcPr>
            <w:tcW w:w="1244" w:type="dxa"/>
            <w:noWrap/>
            <w:vAlign w:val="center"/>
            <w:hideMark/>
          </w:tcPr>
          <w:p w14:paraId="363DD0AF"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三代虫</w:t>
            </w:r>
          </w:p>
        </w:tc>
        <w:tc>
          <w:tcPr>
            <w:tcW w:w="1791" w:type="dxa"/>
            <w:noWrap/>
            <w:vAlign w:val="center"/>
            <w:hideMark/>
          </w:tcPr>
          <w:p w14:paraId="7C7B982C"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PCR</w:t>
            </w:r>
          </w:p>
        </w:tc>
        <w:tc>
          <w:tcPr>
            <w:tcW w:w="2292" w:type="dxa"/>
            <w:noWrap/>
            <w:vAlign w:val="center"/>
            <w:hideMark/>
          </w:tcPr>
          <w:p w14:paraId="2C89BE94"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剖检，镜检</w:t>
            </w:r>
          </w:p>
        </w:tc>
        <w:tc>
          <w:tcPr>
            <w:tcW w:w="1193" w:type="dxa"/>
            <w:noWrap/>
            <w:vAlign w:val="center"/>
            <w:hideMark/>
          </w:tcPr>
          <w:p w14:paraId="3B611180"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p>
        </w:tc>
        <w:tc>
          <w:tcPr>
            <w:tcW w:w="2082" w:type="dxa"/>
            <w:noWrap/>
            <w:vAlign w:val="center"/>
            <w:hideMark/>
          </w:tcPr>
          <w:p w14:paraId="15E93E42" w14:textId="77777777" w:rsidR="0064760A" w:rsidRPr="00AF0151" w:rsidRDefault="0064760A" w:rsidP="00DB2B12">
            <w:pPr>
              <w:adjustRightInd w:val="0"/>
              <w:snapToGrid w:val="0"/>
              <w:spacing w:before="100" w:beforeAutospacing="1" w:after="100" w:afterAutospacing="1"/>
              <w:jc w:val="both"/>
              <w:rPr>
                <w:rFonts w:ascii="仿宋" w:eastAsia="仿宋" w:hAnsi="仿宋"/>
                <w:sz w:val="32"/>
                <w:szCs w:val="32"/>
              </w:rPr>
            </w:pPr>
            <w:r w:rsidRPr="00AF0151">
              <w:rPr>
                <w:rFonts w:ascii="仿宋" w:eastAsia="仿宋" w:hAnsi="仿宋" w:hint="eastAsia"/>
                <w:sz w:val="32"/>
                <w:szCs w:val="32"/>
              </w:rPr>
              <w:t>SC/T 7219.1—2015</w:t>
            </w:r>
          </w:p>
        </w:tc>
      </w:tr>
    </w:tbl>
    <w:p w14:paraId="77F4E22B" w14:textId="77777777" w:rsidR="007F414E"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bookmarkStart w:id="30" w:name="OLE_LINK147"/>
      <w:bookmarkStart w:id="31" w:name="OLE_LINK148"/>
      <w:r w:rsidRPr="00AF0151">
        <w:rPr>
          <w:rFonts w:ascii="仿宋" w:eastAsia="仿宋" w:hAnsi="仿宋" w:hint="eastAsia"/>
          <w:b/>
          <w:bCs/>
          <w:sz w:val="32"/>
          <w:szCs w:val="32"/>
        </w:rPr>
        <w:t>（</w:t>
      </w:r>
      <w:r w:rsidRPr="00AF0151">
        <w:rPr>
          <w:rFonts w:ascii="仿宋" w:eastAsia="仿宋" w:hAnsi="仿宋"/>
          <w:b/>
          <w:bCs/>
          <w:sz w:val="32"/>
          <w:szCs w:val="32"/>
        </w:rPr>
        <w:t>2</w:t>
      </w:r>
      <w:r w:rsidRPr="00AF0151">
        <w:rPr>
          <w:rFonts w:ascii="仿宋" w:eastAsia="仿宋" w:hAnsi="仿宋" w:hint="eastAsia"/>
          <w:b/>
          <w:bCs/>
          <w:sz w:val="32"/>
          <w:szCs w:val="32"/>
        </w:rPr>
        <w:t>）利用套式PCR解决病原菌培养效率低的问题</w:t>
      </w:r>
      <w:bookmarkEnd w:id="30"/>
      <w:bookmarkEnd w:id="31"/>
    </w:p>
    <w:p w14:paraId="0895866F"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细菌性肾病（BKD）的病原</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肾杆菌生长极其苛刻，使用含血清和抗生素的专性培养基（如KDM-2）往往需在15℃下培养长达4至12周方能肉眼可见微小菌落。这种慢节奏根本无法满足深水网箱“早发现、早隔离”的应急需求。为此，本标</w:t>
      </w:r>
      <w:r w:rsidRPr="00AF0151">
        <w:rPr>
          <w:rFonts w:ascii="仿宋" w:eastAsia="仿宋" w:hAnsi="仿宋" w:hint="eastAsia"/>
          <w:sz w:val="32"/>
          <w:szCs w:val="32"/>
        </w:rPr>
        <w:lastRenderedPageBreak/>
        <w:t>准引入了针对BKD特异性表面抗原</w:t>
      </w:r>
      <w:r w:rsidRPr="00AF0151">
        <w:rPr>
          <w:rFonts w:ascii="仿宋" w:eastAsia="仿宋" w:hAnsi="仿宋"/>
          <w:i/>
          <w:iCs/>
          <w:sz w:val="32"/>
          <w:szCs w:val="32"/>
        </w:rPr>
        <w:t>p57</w:t>
      </w:r>
      <w:r w:rsidRPr="00AF0151">
        <w:rPr>
          <w:rFonts w:ascii="仿宋" w:eastAsia="仿宋" w:hAnsi="仿宋"/>
          <w:sz w:val="32"/>
          <w:szCs w:val="32"/>
        </w:rPr>
        <w:t xml:space="preserve"> </w:t>
      </w:r>
      <w:r w:rsidRPr="00AF0151">
        <w:rPr>
          <w:rFonts w:ascii="仿宋" w:eastAsia="仿宋" w:hAnsi="仿宋" w:hint="eastAsia"/>
          <w:sz w:val="32"/>
          <w:szCs w:val="32"/>
        </w:rPr>
        <w:t>基因的套式PCR（Nested</w:t>
      </w:r>
      <w:r w:rsidRPr="00AF0151">
        <w:rPr>
          <w:rFonts w:ascii="仿宋" w:eastAsia="仿宋" w:hAnsi="仿宋"/>
          <w:sz w:val="32"/>
          <w:szCs w:val="32"/>
        </w:rPr>
        <w:t xml:space="preserve"> </w:t>
      </w:r>
      <w:r w:rsidRPr="00AF0151">
        <w:rPr>
          <w:rFonts w:ascii="仿宋" w:eastAsia="仿宋" w:hAnsi="仿宋" w:hint="eastAsia"/>
          <w:sz w:val="32"/>
          <w:szCs w:val="32"/>
        </w:rPr>
        <w:t>PCR）技术，通过两轮巢式扩增（第一轮383</w:t>
      </w:r>
      <w:r w:rsidRPr="00AF0151">
        <w:rPr>
          <w:rFonts w:ascii="仿宋" w:eastAsia="仿宋" w:hAnsi="仿宋"/>
          <w:sz w:val="32"/>
          <w:szCs w:val="32"/>
        </w:rPr>
        <w:t xml:space="preserve"> </w:t>
      </w:r>
      <w:r w:rsidRPr="00AF0151">
        <w:rPr>
          <w:rFonts w:ascii="仿宋" w:eastAsia="仿宋" w:hAnsi="仿宋" w:hint="eastAsia"/>
          <w:sz w:val="32"/>
          <w:szCs w:val="32"/>
        </w:rPr>
        <w:t>bp，第二轮323</w:t>
      </w:r>
      <w:r w:rsidRPr="00AF0151">
        <w:rPr>
          <w:rFonts w:ascii="仿宋" w:eastAsia="仿宋" w:hAnsi="仿宋"/>
          <w:sz w:val="32"/>
          <w:szCs w:val="32"/>
        </w:rPr>
        <w:t xml:space="preserve"> </w:t>
      </w:r>
      <w:r w:rsidRPr="00AF0151">
        <w:rPr>
          <w:rFonts w:ascii="仿宋" w:eastAsia="仿宋" w:hAnsi="仿宋" w:hint="eastAsia"/>
          <w:sz w:val="32"/>
          <w:szCs w:val="32"/>
        </w:rPr>
        <w:t>bp），在数小时内即可实现极高灵敏度的微量DNA探明</w:t>
      </w:r>
      <w:r w:rsidRPr="00AF0151">
        <w:rPr>
          <w:rFonts w:ascii="仿宋" w:eastAsia="仿宋" w:hAnsi="仿宋"/>
          <w:sz w:val="32"/>
          <w:szCs w:val="32"/>
        </w:rPr>
        <w:t>。</w:t>
      </w:r>
    </w:p>
    <w:p w14:paraId="6B52F8B5" w14:textId="77777777" w:rsidR="007F414E"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w:t>
      </w:r>
      <w:r w:rsidRPr="00AF0151">
        <w:rPr>
          <w:rFonts w:ascii="仿宋" w:eastAsia="仿宋" w:hAnsi="仿宋"/>
          <w:b/>
          <w:bCs/>
          <w:sz w:val="32"/>
          <w:szCs w:val="32"/>
        </w:rPr>
        <w:t>3</w:t>
      </w:r>
      <w:r w:rsidRPr="00AF0151">
        <w:rPr>
          <w:rFonts w:ascii="仿宋" w:eastAsia="仿宋" w:hAnsi="仿宋" w:hint="eastAsia"/>
          <w:b/>
          <w:bCs/>
          <w:sz w:val="32"/>
          <w:szCs w:val="32"/>
        </w:rPr>
        <w:t>）广泛采用RT-qPCR提高日常高通量筛查能力</w:t>
      </w:r>
    </w:p>
    <w:p w14:paraId="691C3448"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鉴于RNA病毒（如IHNV、IPNV）在复制过程中因缺乏校对机制而具有极高的单碱基突变率，这常导致现行旧版行业标准中的常规PCR引物与变异株序列不兼容，从而引发漏检。为规避此类风险，本规范优选了针对病毒基因组中高度保守区域（如IHNV的糖蛋白G基因）设计的TaqMan探针法。该方法凭借特异性荧光探针（如IHNV</w:t>
      </w:r>
      <w:r w:rsidRPr="00AF0151">
        <w:rPr>
          <w:rFonts w:ascii="仿宋" w:eastAsia="仿宋" w:hAnsi="仿宋"/>
          <w:sz w:val="32"/>
          <w:szCs w:val="32"/>
        </w:rPr>
        <w:t xml:space="preserve"> N </w:t>
      </w:r>
      <w:r w:rsidRPr="00AF0151">
        <w:rPr>
          <w:rFonts w:ascii="仿宋" w:eastAsia="仿宋" w:hAnsi="仿宋" w:hint="eastAsia"/>
          <w:sz w:val="32"/>
          <w:szCs w:val="32"/>
        </w:rPr>
        <w:t>818T探针）结合聚合酶的核酸外切酶活性，极大地提升了检测的抗干扰能力；并明确了严格的判定标准：Ct值&lt;35判阳，35≤Ct&lt;40判可疑需重测。这一严谨的定量体系确保了大批量临床组织及海水样本筛查的高效与准确。</w:t>
      </w:r>
    </w:p>
    <w:p w14:paraId="7A0EAA29" w14:textId="77777777" w:rsidR="007F414E" w:rsidRPr="00AF0151" w:rsidRDefault="007F414E" w:rsidP="007F414E">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w:t>
      </w:r>
      <w:r w:rsidRPr="00AF0151">
        <w:rPr>
          <w:rFonts w:ascii="仿宋" w:eastAsia="仿宋" w:hAnsi="仿宋"/>
          <w:b/>
          <w:bCs/>
          <w:sz w:val="32"/>
          <w:szCs w:val="32"/>
        </w:rPr>
        <w:t>4</w:t>
      </w:r>
      <w:r w:rsidRPr="00AF0151">
        <w:rPr>
          <w:rFonts w:ascii="仿宋" w:eastAsia="仿宋" w:hAnsi="仿宋" w:hint="eastAsia"/>
          <w:b/>
          <w:bCs/>
          <w:sz w:val="32"/>
          <w:szCs w:val="32"/>
        </w:rPr>
        <w:t>）建立</w:t>
      </w:r>
      <w:r w:rsidRPr="00AF0151">
        <w:rPr>
          <w:rFonts w:ascii="仿宋" w:eastAsia="仿宋" w:hAnsi="仿宋"/>
          <w:b/>
          <w:bCs/>
          <w:sz w:val="32"/>
          <w:szCs w:val="32"/>
        </w:rPr>
        <w:t>数据记录、报告与应急响应</w:t>
      </w:r>
      <w:r w:rsidRPr="00AF0151">
        <w:rPr>
          <w:rFonts w:ascii="仿宋" w:eastAsia="仿宋" w:hAnsi="仿宋" w:hint="eastAsia"/>
          <w:b/>
          <w:bCs/>
          <w:sz w:val="32"/>
          <w:szCs w:val="32"/>
        </w:rPr>
        <w:t>技术方法</w:t>
      </w:r>
    </w:p>
    <w:p w14:paraId="1FA2D857" w14:textId="77777777" w:rsidR="007F414E" w:rsidRPr="00AF0151" w:rsidRDefault="007F414E" w:rsidP="007F414E">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本规范最后明确规定了重大动物疫情的监测预警、紧急报告及扑灭机制。本规范在第</w:t>
      </w:r>
      <w:r w:rsidRPr="00AF0151">
        <w:rPr>
          <w:rFonts w:ascii="仿宋" w:eastAsia="仿宋" w:hAnsi="仿宋"/>
          <w:sz w:val="32"/>
          <w:szCs w:val="32"/>
        </w:rPr>
        <w:t>8</w:t>
      </w:r>
      <w:r w:rsidRPr="00AF0151">
        <w:rPr>
          <w:rFonts w:ascii="仿宋" w:eastAsia="仿宋" w:hAnsi="仿宋" w:hint="eastAsia"/>
          <w:sz w:val="32"/>
          <w:szCs w:val="32"/>
        </w:rPr>
        <w:t>章“数据记录、报告与应急响应”中设定了技术要求：“所有监测活动必须留痕并建立保存期至少两年的电子追溯档案；一旦发现IHN、VHS等法定重大监测疫病呈阳性，必须在24小时内立即向属地渔业兽医主管部门或国家级参考实验室报告，并在等待复核期间，当即实施对涉事网箱及相邻水域的活鱼移动、工具共用的临时物理封锁”。这些步骤，充分贯彻了《中华人民共和国动物防疫法》与《生物安全法》精神，有利于国家动物疫情上报制度在深海无监管盲区的执行</w:t>
      </w:r>
      <w:r w:rsidRPr="00AF0151">
        <w:rPr>
          <w:rFonts w:ascii="仿宋" w:eastAsia="仿宋" w:hAnsi="仿宋"/>
          <w:sz w:val="32"/>
          <w:szCs w:val="32"/>
        </w:rPr>
        <w:t>。</w:t>
      </w:r>
    </w:p>
    <w:p w14:paraId="45523562" w14:textId="77777777" w:rsidR="00610C32" w:rsidRPr="00AF0151" w:rsidRDefault="00186307" w:rsidP="00DB2B12">
      <w:pPr>
        <w:pStyle w:val="2"/>
        <w:spacing w:before="100" w:beforeAutospacing="1" w:after="100" w:afterAutospacing="1"/>
        <w:jc w:val="both"/>
        <w:rPr>
          <w:rFonts w:ascii="仿宋" w:eastAsia="仿宋" w:hAnsi="仿宋"/>
          <w:b/>
          <w:color w:val="auto"/>
        </w:rPr>
      </w:pPr>
      <w:bookmarkStart w:id="32" w:name="三-主要试验与验证分析及预期经济社会效益"/>
      <w:bookmarkEnd w:id="9"/>
      <w:bookmarkEnd w:id="11"/>
      <w:bookmarkEnd w:id="29"/>
      <w:r w:rsidRPr="00AF0151">
        <w:rPr>
          <w:rFonts w:ascii="仿宋" w:eastAsia="仿宋" w:hAnsi="仿宋" w:hint="eastAsia"/>
          <w:b/>
          <w:color w:val="auto"/>
        </w:rPr>
        <w:lastRenderedPageBreak/>
        <w:t>三、</w:t>
      </w:r>
      <w:r w:rsidRPr="00AF0151">
        <w:rPr>
          <w:rFonts w:ascii="仿宋" w:eastAsia="仿宋" w:hAnsi="仿宋"/>
          <w:b/>
          <w:color w:val="auto"/>
        </w:rPr>
        <w:t xml:space="preserve"> </w:t>
      </w:r>
      <w:bookmarkStart w:id="33" w:name="OLE_LINK138"/>
      <w:bookmarkStart w:id="34" w:name="OLE_LINK139"/>
      <w:r w:rsidRPr="00AF0151">
        <w:rPr>
          <w:rFonts w:ascii="仿宋" w:eastAsia="仿宋" w:hAnsi="仿宋" w:cs="Times New Roman"/>
          <w:b/>
          <w:color w:val="auto"/>
        </w:rPr>
        <w:t>试验验证的分析、综述报告，</w:t>
      </w:r>
      <w:bookmarkEnd w:id="33"/>
      <w:bookmarkEnd w:id="34"/>
      <w:r w:rsidRPr="00AF0151">
        <w:rPr>
          <w:rFonts w:ascii="仿宋" w:eastAsia="仿宋" w:hAnsi="仿宋" w:cs="Times New Roman"/>
          <w:b/>
          <w:color w:val="auto"/>
        </w:rPr>
        <w:t>技术经济论证，预期</w:t>
      </w:r>
      <w:r w:rsidRPr="00AF0151">
        <w:rPr>
          <w:rFonts w:ascii="仿宋" w:eastAsia="仿宋" w:hAnsi="仿宋" w:cs="Times New Roman" w:hint="eastAsia"/>
          <w:b/>
          <w:color w:val="auto"/>
        </w:rPr>
        <w:t>的</w:t>
      </w:r>
      <w:r w:rsidRPr="00AF0151">
        <w:rPr>
          <w:rFonts w:ascii="仿宋" w:eastAsia="仿宋" w:hAnsi="仿宋" w:cs="Times New Roman"/>
          <w:b/>
          <w:color w:val="auto"/>
        </w:rPr>
        <w:t>经济效益、社会效益和生态效益</w:t>
      </w:r>
    </w:p>
    <w:p w14:paraId="7DD6B7C8" w14:textId="77777777" w:rsidR="00610C32" w:rsidRPr="00AF0151" w:rsidRDefault="00186307" w:rsidP="00DB2B12">
      <w:pPr>
        <w:pStyle w:val="3"/>
        <w:spacing w:before="100" w:beforeAutospacing="1" w:after="100" w:afterAutospacing="1"/>
        <w:jc w:val="both"/>
        <w:rPr>
          <w:rFonts w:ascii="仿宋" w:eastAsia="仿宋" w:hAnsi="仿宋"/>
          <w:b/>
          <w:color w:val="auto"/>
          <w:sz w:val="32"/>
          <w:szCs w:val="32"/>
        </w:rPr>
      </w:pPr>
      <w:bookmarkStart w:id="35" w:name="OLE_LINK140"/>
      <w:bookmarkStart w:id="36" w:name="OLE_LINK141"/>
      <w:bookmarkStart w:id="37" w:name="实验室技术规程的多中心验证分析"/>
      <w:r w:rsidRPr="00AF0151">
        <w:rPr>
          <w:rFonts w:ascii="仿宋" w:eastAsia="仿宋" w:hAnsi="仿宋"/>
          <w:b/>
          <w:color w:val="auto"/>
          <w:sz w:val="32"/>
          <w:szCs w:val="32"/>
        </w:rPr>
        <w:t xml:space="preserve">1. </w:t>
      </w:r>
      <w:r w:rsidRPr="00AF0151">
        <w:rPr>
          <w:rFonts w:ascii="仿宋" w:eastAsia="仿宋" w:hAnsi="仿宋" w:hint="eastAsia"/>
          <w:b/>
          <w:color w:val="auto"/>
          <w:sz w:val="32"/>
          <w:szCs w:val="32"/>
        </w:rPr>
        <w:t>实验室技术规程的多中心验证分析</w:t>
      </w:r>
    </w:p>
    <w:bookmarkEnd w:id="35"/>
    <w:bookmarkEnd w:id="36"/>
    <w:p w14:paraId="315562ED"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一项团体标准能否顺利下沉</w:t>
      </w:r>
      <w:proofErr w:type="gramStart"/>
      <w:r w:rsidRPr="00AF0151">
        <w:rPr>
          <w:rFonts w:ascii="仿宋" w:eastAsia="仿宋" w:hAnsi="仿宋" w:hint="eastAsia"/>
          <w:sz w:val="32"/>
          <w:szCs w:val="32"/>
        </w:rPr>
        <w:t>至产业</w:t>
      </w:r>
      <w:proofErr w:type="gramEnd"/>
      <w:r w:rsidRPr="00AF0151">
        <w:rPr>
          <w:rFonts w:ascii="仿宋" w:eastAsia="仿宋" w:hAnsi="仿宋" w:hint="eastAsia"/>
          <w:sz w:val="32"/>
          <w:szCs w:val="32"/>
        </w:rPr>
        <w:t>一线，其检测体系在复杂环境中的抗干扰性（稳健性，Robustness）是核心验证指标。在对IHN与IPN的现场样本验证中，起草组深度剖析了《2024年传染性造血器官坏死病状况分析》报告中揭露的一个现实问题：部分偏远省份（如云南、山东等）考虑到活鱼运输成本高昂且存活率低，常采用冰鲜冷冻或直接浸泡于普通酒精中的组织块作为送检材料。验证实验以严谨的数据证实：普通冷冻-解冻循环会引发组织细胞内源性RNase酶的大量释放，导致脆弱的单链RNA病毒（如IHNV）基因组发生灾难性降解；而普通浓度酒精固定不仅会致死病毒使其无法用于细胞培养分离，且若浓度不足，亦无法妥善保护核酸</w:t>
      </w:r>
      <w:r w:rsidRPr="00AF0151">
        <w:rPr>
          <w:rFonts w:ascii="仿宋" w:eastAsia="仿宋" w:hAnsi="仿宋"/>
          <w:sz w:val="32"/>
          <w:szCs w:val="32"/>
        </w:rPr>
        <w:t>。</w:t>
      </w:r>
      <w:r w:rsidRPr="00AF0151">
        <w:rPr>
          <w:rFonts w:ascii="仿宋" w:eastAsia="仿宋" w:hAnsi="仿宋" w:hint="eastAsia"/>
          <w:sz w:val="32"/>
          <w:szCs w:val="32"/>
        </w:rPr>
        <w:t>基于这一血淋淋的验证教训，本标准在“6.4</w:t>
      </w:r>
      <w:r w:rsidRPr="00AF0151">
        <w:rPr>
          <w:rFonts w:ascii="仿宋" w:eastAsia="仿宋" w:hAnsi="仿宋"/>
          <w:sz w:val="32"/>
          <w:szCs w:val="32"/>
        </w:rPr>
        <w:t xml:space="preserve"> </w:t>
      </w:r>
      <w:r w:rsidRPr="00AF0151">
        <w:rPr>
          <w:rFonts w:ascii="仿宋" w:eastAsia="仿宋" w:hAnsi="仿宋" w:hint="eastAsia"/>
          <w:sz w:val="32"/>
          <w:szCs w:val="32"/>
        </w:rPr>
        <w:t>样品保存与运输”条款中，做出了强制规范：“用于病毒分离的组织块</w:t>
      </w:r>
      <w:r w:rsidR="0064760A" w:rsidRPr="00AF0151">
        <w:rPr>
          <w:rFonts w:ascii="仿宋" w:eastAsia="仿宋" w:hAnsi="仿宋" w:hint="eastAsia"/>
          <w:sz w:val="32"/>
          <w:szCs w:val="32"/>
        </w:rPr>
        <w:t>（不应冷冻）</w:t>
      </w:r>
      <w:r w:rsidRPr="00AF0151">
        <w:rPr>
          <w:rFonts w:ascii="仿宋" w:eastAsia="仿宋" w:hAnsi="仿宋" w:hint="eastAsia"/>
          <w:sz w:val="32"/>
          <w:szCs w:val="32"/>
        </w:rPr>
        <w:t>须保存在含抗生素的细胞培养液中；用于分子检测的组织块厚度不得超过0.5</w:t>
      </w:r>
      <w:r w:rsidRPr="00AF0151">
        <w:rPr>
          <w:rFonts w:ascii="仿宋" w:eastAsia="仿宋" w:hAnsi="仿宋"/>
          <w:sz w:val="32"/>
          <w:szCs w:val="32"/>
        </w:rPr>
        <w:t xml:space="preserve"> </w:t>
      </w:r>
      <w:r w:rsidRPr="00AF0151">
        <w:rPr>
          <w:rFonts w:ascii="仿宋" w:eastAsia="仿宋" w:hAnsi="仿宋" w:hint="eastAsia"/>
          <w:sz w:val="32"/>
          <w:szCs w:val="32"/>
        </w:rPr>
        <w:t>cm，必须完全浸泡于专用的核酸保存液（</w:t>
      </w:r>
      <w:proofErr w:type="spellStart"/>
      <w:r w:rsidRPr="00AF0151">
        <w:rPr>
          <w:rFonts w:ascii="仿宋" w:eastAsia="仿宋" w:hAnsi="仿宋" w:hint="eastAsia"/>
          <w:sz w:val="32"/>
          <w:szCs w:val="32"/>
        </w:rPr>
        <w:t>RNAlater</w:t>
      </w:r>
      <w:proofErr w:type="spellEnd"/>
      <w:r w:rsidRPr="00AF0151">
        <w:rPr>
          <w:rFonts w:ascii="仿宋" w:eastAsia="仿宋" w:hAnsi="仿宋" w:hint="eastAsia"/>
          <w:sz w:val="32"/>
          <w:szCs w:val="32"/>
        </w:rPr>
        <w:t>）或浓度达到95%以上的无水乙醇中”。这一关键参数的修正和规范化，能够消除长期困扰基层海岛网箱远距离送样，样品保存不佳导致病原检测假阴性的隐患。</w:t>
      </w:r>
    </w:p>
    <w:p w14:paraId="33C0EDE6" w14:textId="77777777" w:rsidR="0064760A" w:rsidRPr="00AF0151" w:rsidRDefault="0064760A" w:rsidP="00DB2B12">
      <w:pPr>
        <w:pStyle w:val="3"/>
        <w:spacing w:before="100" w:beforeAutospacing="1" w:after="100" w:afterAutospacing="1"/>
        <w:jc w:val="both"/>
        <w:rPr>
          <w:rFonts w:ascii="仿宋" w:eastAsia="仿宋" w:hAnsi="仿宋"/>
          <w:b/>
          <w:color w:val="auto"/>
          <w:sz w:val="32"/>
          <w:szCs w:val="32"/>
        </w:rPr>
      </w:pPr>
      <w:r w:rsidRPr="00AF0151">
        <w:rPr>
          <w:rFonts w:ascii="仿宋" w:eastAsia="仿宋" w:hAnsi="仿宋"/>
          <w:b/>
          <w:color w:val="auto"/>
          <w:sz w:val="32"/>
          <w:szCs w:val="32"/>
        </w:rPr>
        <w:t xml:space="preserve">2. </w:t>
      </w:r>
      <w:r w:rsidRPr="00AF0151">
        <w:rPr>
          <w:rFonts w:ascii="仿宋" w:eastAsia="仿宋" w:hAnsi="仿宋" w:hint="eastAsia"/>
          <w:b/>
          <w:color w:val="auto"/>
          <w:sz w:val="32"/>
          <w:szCs w:val="32"/>
        </w:rPr>
        <w:t>本标准技术内容依据具有权威性和可靠性</w:t>
      </w:r>
    </w:p>
    <w:p w14:paraId="0B735531" w14:textId="77777777" w:rsidR="0064760A" w:rsidRPr="00AF0151" w:rsidRDefault="0064760A"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本标准的试验方法均直接引用现行有效的国家标准（</w:t>
      </w:r>
      <w:r w:rsidRPr="00AF0151">
        <w:rPr>
          <w:rFonts w:ascii="仿宋" w:eastAsia="仿宋" w:hAnsi="仿宋"/>
          <w:sz w:val="32"/>
          <w:szCs w:val="32"/>
        </w:rPr>
        <w:t>GB</w:t>
      </w:r>
      <w:r w:rsidRPr="00AF0151">
        <w:rPr>
          <w:rFonts w:ascii="仿宋" w:eastAsia="仿宋" w:hAnsi="仿宋" w:hint="eastAsia"/>
          <w:sz w:val="32"/>
          <w:szCs w:val="32"/>
        </w:rPr>
        <w:t>）、行业标准（</w:t>
      </w:r>
      <w:r w:rsidRPr="00AF0151">
        <w:rPr>
          <w:rFonts w:ascii="仿宋" w:eastAsia="仿宋" w:hAnsi="仿宋"/>
          <w:sz w:val="32"/>
          <w:szCs w:val="32"/>
        </w:rPr>
        <w:t>SC/T</w:t>
      </w:r>
      <w:r w:rsidRPr="00AF0151">
        <w:rPr>
          <w:rFonts w:ascii="仿宋" w:eastAsia="仿宋" w:hAnsi="仿宋" w:hint="eastAsia"/>
          <w:sz w:val="32"/>
          <w:szCs w:val="32"/>
        </w:rPr>
        <w:t>、</w:t>
      </w:r>
      <w:r w:rsidRPr="00AF0151">
        <w:rPr>
          <w:rFonts w:ascii="仿宋" w:eastAsia="仿宋" w:hAnsi="仿宋"/>
          <w:sz w:val="32"/>
          <w:szCs w:val="32"/>
        </w:rPr>
        <w:t>SN/T</w:t>
      </w:r>
      <w:r w:rsidRPr="00AF0151">
        <w:rPr>
          <w:rFonts w:ascii="仿宋" w:eastAsia="仿宋" w:hAnsi="仿宋" w:hint="eastAsia"/>
          <w:sz w:val="32"/>
          <w:szCs w:val="32"/>
        </w:rPr>
        <w:t>）及世界动物卫生组织（</w:t>
      </w:r>
      <w:r w:rsidRPr="00AF0151">
        <w:rPr>
          <w:rFonts w:ascii="仿宋" w:eastAsia="仿宋" w:hAnsi="仿宋"/>
          <w:sz w:val="32"/>
          <w:szCs w:val="32"/>
        </w:rPr>
        <w:t>WOAH</w:t>
      </w:r>
      <w:r w:rsidRPr="00AF0151">
        <w:rPr>
          <w:rFonts w:ascii="仿宋" w:eastAsia="仿宋" w:hAnsi="仿宋" w:hint="eastAsia"/>
          <w:sz w:val="32"/>
          <w:szCs w:val="32"/>
        </w:rPr>
        <w:t>）推荐方法，所采纳的每一种检测技术（包括</w:t>
      </w:r>
      <w:r w:rsidRPr="00AF0151">
        <w:rPr>
          <w:rFonts w:ascii="仿宋" w:eastAsia="仿宋" w:hAnsi="仿宋"/>
          <w:sz w:val="32"/>
          <w:szCs w:val="32"/>
        </w:rPr>
        <w:t>PCR/RT-PCR</w:t>
      </w:r>
      <w:r w:rsidRPr="00AF0151">
        <w:rPr>
          <w:rFonts w:ascii="仿宋" w:eastAsia="仿宋" w:hAnsi="仿宋" w:hint="eastAsia"/>
          <w:sz w:val="32"/>
          <w:szCs w:val="32"/>
        </w:rPr>
        <w:t>、荧光定量</w:t>
      </w:r>
      <w:r w:rsidRPr="00AF0151">
        <w:rPr>
          <w:rFonts w:ascii="仿宋" w:eastAsia="仿宋" w:hAnsi="仿宋"/>
          <w:sz w:val="32"/>
          <w:szCs w:val="32"/>
        </w:rPr>
        <w:t>PCR</w:t>
      </w:r>
      <w:r w:rsidRPr="00AF0151">
        <w:rPr>
          <w:rFonts w:ascii="仿宋" w:eastAsia="仿宋" w:hAnsi="仿宋" w:hint="eastAsia"/>
          <w:sz w:val="32"/>
          <w:szCs w:val="32"/>
        </w:rPr>
        <w:t>及形态学鉴定等）均已在相应来源标准中完成了充分的实验室间验证，其特异性、灵敏度、重复性和再现性等关键性能指标均得到严格确认。因此，本标准所构建的检测体系并非新</w:t>
      </w:r>
      <w:r w:rsidRPr="00AF0151">
        <w:rPr>
          <w:rFonts w:ascii="仿宋" w:eastAsia="仿宋" w:hAnsi="仿宋" w:hint="eastAsia"/>
          <w:sz w:val="32"/>
          <w:szCs w:val="32"/>
        </w:rPr>
        <w:lastRenderedPageBreak/>
        <w:t>建方法，而是对业已成熟、公认可靠的标准化技术进行集成与应用，确保了整个疫病监测方案在方法层面具有坚实的科学基础、高度的可操作性和良好的结果可比性，能够为三文鱼养殖疫病的精准诊断与有效防控提供权威、统一的技术依据。</w:t>
      </w:r>
    </w:p>
    <w:p w14:paraId="6297FAF6" w14:textId="77777777" w:rsidR="00610C32" w:rsidRPr="00AF0151" w:rsidRDefault="00186307" w:rsidP="00DB2B12">
      <w:pPr>
        <w:pStyle w:val="3"/>
        <w:spacing w:before="100" w:beforeAutospacing="1" w:after="100" w:afterAutospacing="1"/>
        <w:jc w:val="both"/>
        <w:rPr>
          <w:rFonts w:ascii="仿宋" w:eastAsia="仿宋" w:hAnsi="仿宋"/>
          <w:b/>
          <w:color w:val="auto"/>
          <w:sz w:val="32"/>
          <w:szCs w:val="32"/>
        </w:rPr>
      </w:pPr>
      <w:bookmarkStart w:id="38" w:name="垂直传播阻断与生物安保措施的有效性验证"/>
      <w:bookmarkEnd w:id="37"/>
      <w:r w:rsidRPr="00AF0151">
        <w:rPr>
          <w:rFonts w:ascii="仿宋" w:eastAsia="仿宋" w:hAnsi="仿宋"/>
          <w:b/>
          <w:color w:val="auto"/>
          <w:sz w:val="32"/>
          <w:szCs w:val="32"/>
        </w:rPr>
        <w:t xml:space="preserve">3. </w:t>
      </w:r>
      <w:r w:rsidRPr="00AF0151">
        <w:rPr>
          <w:rFonts w:ascii="仿宋" w:eastAsia="仿宋" w:hAnsi="仿宋" w:hint="eastAsia"/>
          <w:b/>
          <w:color w:val="auto"/>
          <w:sz w:val="32"/>
          <w:szCs w:val="32"/>
        </w:rPr>
        <w:t>技术经济论证</w:t>
      </w:r>
    </w:p>
    <w:p w14:paraId="7B83981D"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bookmarkStart w:id="39" w:name="OLE_LINK10"/>
      <w:r w:rsidRPr="00AF0151">
        <w:rPr>
          <w:rFonts w:ascii="仿宋" w:eastAsia="仿宋" w:hAnsi="仿宋" w:hint="eastAsia"/>
          <w:sz w:val="32"/>
          <w:szCs w:val="32"/>
        </w:rPr>
        <w:t>本规范覆盖了海水养殖</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从幼鱼入海到商品鱼出栏的全过程，适用于近海网箱、深远海养殖工船、陆基循环水及流水养殖等多种模式。所规定的监测策略、采样技术、病原检测方法和处置措施均基于成熟技术，养殖企业检疫部门、各级</w:t>
      </w:r>
      <w:proofErr w:type="gramStart"/>
      <w:r w:rsidRPr="00AF0151">
        <w:rPr>
          <w:rFonts w:ascii="仿宋" w:eastAsia="仿宋" w:hAnsi="仿宋" w:hint="eastAsia"/>
          <w:sz w:val="32"/>
          <w:szCs w:val="32"/>
        </w:rPr>
        <w:t>疫</w:t>
      </w:r>
      <w:proofErr w:type="gramEnd"/>
      <w:r w:rsidRPr="00AF0151">
        <w:rPr>
          <w:rFonts w:ascii="仿宋" w:eastAsia="仿宋" w:hAnsi="仿宋" w:hint="eastAsia"/>
          <w:sz w:val="32"/>
          <w:szCs w:val="32"/>
        </w:rPr>
        <w:t>控机构、检验检疫部门及科研院所等主体在配备基本实验设备的前提下均可按标准执行。规范在制定时充分考虑了经济合理原则，避免过度采样和盲目使用高成本检测方法。</w:t>
      </w:r>
    </w:p>
    <w:p w14:paraId="026F8E32"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从经济角度看，传染性造血器官坏死病、海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病等重要疫病的暴发往往导致大规模死亡和品质下降，本规范通过标准化监测与早期干预，可显著降低发病率和死亡率，保障出栏率和产品品质。同时，统一的技术标准有助于减少重复建设和分散投入，降低企业和政府的综合防控成本。整体而言，该规范在技术上可行、经济上合理，有利于推动海水养殖</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鳟鱼产业向低风险、高效益方向发展。</w:t>
      </w:r>
      <w:bookmarkEnd w:id="39"/>
    </w:p>
    <w:p w14:paraId="0CAEB8CF" w14:textId="77777777" w:rsidR="00610C32" w:rsidRPr="00AF0151" w:rsidRDefault="00186307" w:rsidP="00DB2B12">
      <w:pPr>
        <w:pStyle w:val="3"/>
        <w:spacing w:before="100" w:beforeAutospacing="1" w:after="100" w:afterAutospacing="1"/>
        <w:jc w:val="both"/>
        <w:rPr>
          <w:rFonts w:ascii="仿宋" w:eastAsia="仿宋" w:hAnsi="仿宋"/>
          <w:b/>
          <w:color w:val="auto"/>
          <w:sz w:val="32"/>
          <w:szCs w:val="32"/>
        </w:rPr>
      </w:pPr>
      <w:bookmarkStart w:id="40" w:name="预期的深远经济社会与生态效益"/>
      <w:bookmarkEnd w:id="38"/>
      <w:r w:rsidRPr="00AF0151">
        <w:rPr>
          <w:rFonts w:ascii="仿宋" w:eastAsia="仿宋" w:hAnsi="仿宋"/>
          <w:b/>
          <w:color w:val="auto"/>
          <w:sz w:val="32"/>
          <w:szCs w:val="32"/>
        </w:rPr>
        <w:t xml:space="preserve">4. </w:t>
      </w:r>
      <w:r w:rsidRPr="00AF0151">
        <w:rPr>
          <w:rFonts w:ascii="仿宋" w:eastAsia="仿宋" w:hAnsi="仿宋" w:hint="eastAsia"/>
          <w:b/>
          <w:color w:val="auto"/>
          <w:sz w:val="32"/>
          <w:szCs w:val="32"/>
        </w:rPr>
        <w:t>预期的深远经济、社会与生态效益</w:t>
      </w:r>
    </w:p>
    <w:p w14:paraId="25F489DC"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本标准的正式发布与贯彻实施，将为我国海洋</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鳟鱼养殖业带来极为可观的综合价值：</w:t>
      </w:r>
    </w:p>
    <w:p w14:paraId="31599148" w14:textId="77777777" w:rsidR="00DB2B12"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（1）通过强化病原风险管理，避免巨额直接资产损失</w:t>
      </w:r>
    </w:p>
    <w:p w14:paraId="542755FA"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在“深蓝1号”等深水网箱或十万吨级</w:t>
      </w:r>
      <w:proofErr w:type="gramStart"/>
      <w:r w:rsidRPr="00AF0151">
        <w:rPr>
          <w:rFonts w:ascii="仿宋" w:eastAsia="仿宋" w:hAnsi="仿宋" w:hint="eastAsia"/>
          <w:sz w:val="32"/>
          <w:szCs w:val="32"/>
        </w:rPr>
        <w:t>养殖工船的</w:t>
      </w:r>
      <w:proofErr w:type="gramEnd"/>
      <w:r w:rsidRPr="00AF0151">
        <w:rPr>
          <w:rFonts w:ascii="仿宋" w:eastAsia="仿宋" w:hAnsi="仿宋" w:hint="eastAsia"/>
          <w:sz w:val="32"/>
          <w:szCs w:val="32"/>
        </w:rPr>
        <w:t>集约化模式下，单箱（舱）动辄承载数十万尾、价值数千万乃至上亿元人民币的养殖动物资产。传统的“见鱼死再投药”的被动治</w:t>
      </w:r>
      <w:r w:rsidRPr="00AF0151">
        <w:rPr>
          <w:rFonts w:ascii="仿宋" w:eastAsia="仿宋" w:hAnsi="仿宋" w:hint="eastAsia"/>
          <w:sz w:val="32"/>
          <w:szCs w:val="32"/>
        </w:rPr>
        <w:lastRenderedPageBreak/>
        <w:t>疗模式在这里形同虚设。本标准推行的“阈值预警与高频主动监测”机制，利用qPCR等高敏技术，可提前7至14天在病原潜伏期捕获信号。一旦预警，企业可迅速实施物理隔离、减料降应激或提前紧急收获，从而避免由SRS或VHS暴发所导致的全面捕杀惨剧。单次成功阻断中等规模疫情，即可为涉海企业挽回上千万的直接死鱼损失及无害化处理成本。</w:t>
      </w:r>
    </w:p>
    <w:p w14:paraId="041A3FB6" w14:textId="77777777" w:rsidR="00DB2B12"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（2）通过降低抗生素依赖，赋能产业高质量绿色发展</w:t>
      </w:r>
    </w:p>
    <w:p w14:paraId="7E0AE9DA"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以全球第二大鲑鱼生产国智利为例，由于SRS疫情泛滥且缺乏早期阻断监测，导致其成鱼养成期极度依赖抗菌药物（如土霉素、氟</w:t>
      </w:r>
      <w:proofErr w:type="gramStart"/>
      <w:r w:rsidRPr="00AF0151">
        <w:rPr>
          <w:rFonts w:ascii="仿宋" w:eastAsia="仿宋" w:hAnsi="仿宋" w:hint="eastAsia"/>
          <w:sz w:val="32"/>
          <w:szCs w:val="32"/>
        </w:rPr>
        <w:t>苯尼考</w:t>
      </w:r>
      <w:proofErr w:type="gramEnd"/>
      <w:r w:rsidRPr="00AF0151">
        <w:rPr>
          <w:rFonts w:ascii="仿宋" w:eastAsia="仿宋" w:hAnsi="仿宋" w:hint="eastAsia"/>
          <w:sz w:val="32"/>
          <w:szCs w:val="32"/>
        </w:rPr>
        <w:t>），其单位产量的抗生素使用量曾高达世界卫生组织（WHO）及环保组织严厉指责的水平，严重挤压了其在高端欧美市场的溢价空间。本标准通过强化入海前的源头病原筛查与过程高频监测，将疫病扼杀于摇篮之中，希望能从根本和源头上切断了成鱼阶段对化学治疗药物的依赖路径，完美契合了国家大力倡导的水产养殖“减抗、无抗”绿色生态发展政策。</w:t>
      </w:r>
    </w:p>
    <w:p w14:paraId="03BA4E01" w14:textId="77777777" w:rsidR="00DB2B12"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（3）</w:t>
      </w:r>
      <w:proofErr w:type="gramStart"/>
      <w:r w:rsidRPr="00AF0151">
        <w:rPr>
          <w:rFonts w:ascii="仿宋" w:eastAsia="仿宋" w:hAnsi="仿宋" w:hint="eastAsia"/>
          <w:b/>
          <w:bCs/>
          <w:sz w:val="32"/>
          <w:szCs w:val="32"/>
        </w:rPr>
        <w:t>践行</w:t>
      </w:r>
      <w:proofErr w:type="gramEnd"/>
      <w:r w:rsidRPr="00AF0151">
        <w:rPr>
          <w:rFonts w:ascii="仿宋" w:eastAsia="仿宋" w:hAnsi="仿宋" w:hint="eastAsia"/>
          <w:b/>
          <w:bCs/>
          <w:sz w:val="32"/>
          <w:szCs w:val="32"/>
        </w:rPr>
        <w:t>“同一健康（One</w:t>
      </w:r>
      <w:r w:rsidRPr="00AF0151">
        <w:rPr>
          <w:rFonts w:ascii="仿宋" w:eastAsia="仿宋" w:hAnsi="仿宋"/>
          <w:b/>
          <w:bCs/>
          <w:sz w:val="32"/>
          <w:szCs w:val="32"/>
        </w:rPr>
        <w:t xml:space="preserve"> </w:t>
      </w:r>
      <w:r w:rsidRPr="00AF0151">
        <w:rPr>
          <w:rFonts w:ascii="仿宋" w:eastAsia="仿宋" w:hAnsi="仿宋" w:hint="eastAsia"/>
          <w:b/>
          <w:bCs/>
          <w:sz w:val="32"/>
          <w:szCs w:val="32"/>
        </w:rPr>
        <w:t>Health）”理念，维持海洋生态平衡</w:t>
      </w:r>
    </w:p>
    <w:p w14:paraId="1D4F2EF1"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标准</w:t>
      </w:r>
      <w:r w:rsidR="00DB2B12" w:rsidRPr="00AF0151">
        <w:rPr>
          <w:rFonts w:ascii="仿宋" w:eastAsia="仿宋" w:hAnsi="仿宋" w:hint="eastAsia"/>
          <w:sz w:val="32"/>
          <w:szCs w:val="32"/>
        </w:rPr>
        <w:t>中</w:t>
      </w:r>
      <w:r w:rsidRPr="00AF0151">
        <w:rPr>
          <w:rFonts w:ascii="仿宋" w:eastAsia="仿宋" w:hAnsi="仿宋" w:hint="eastAsia"/>
          <w:sz w:val="32"/>
          <w:szCs w:val="32"/>
        </w:rPr>
        <w:t>界定了严格的海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清理触发阈值。这些纳入的环保条款，有效防止了集约化网箱成为病原“贮存放大器”，切断了养殖设施病原向周边海域底栖生物及野生土著鱼类溢出的路径，以实际行动</w:t>
      </w:r>
      <w:proofErr w:type="gramStart"/>
      <w:r w:rsidRPr="00AF0151">
        <w:rPr>
          <w:rFonts w:ascii="仿宋" w:eastAsia="仿宋" w:hAnsi="仿宋" w:hint="eastAsia"/>
          <w:sz w:val="32"/>
          <w:szCs w:val="32"/>
        </w:rPr>
        <w:t>践行</w:t>
      </w:r>
      <w:proofErr w:type="gramEnd"/>
      <w:r w:rsidRPr="00AF0151">
        <w:rPr>
          <w:rFonts w:ascii="仿宋" w:eastAsia="仿宋" w:hAnsi="仿宋" w:hint="eastAsia"/>
          <w:sz w:val="32"/>
          <w:szCs w:val="32"/>
        </w:rPr>
        <w:t>了维护全球海洋生态多样性的承诺</w:t>
      </w:r>
      <w:r w:rsidRPr="00AF0151">
        <w:rPr>
          <w:rFonts w:ascii="仿宋" w:eastAsia="仿宋" w:hAnsi="仿宋"/>
          <w:sz w:val="32"/>
          <w:szCs w:val="32"/>
        </w:rPr>
        <w:t>。</w:t>
      </w:r>
    </w:p>
    <w:p w14:paraId="01C89E55" w14:textId="77777777" w:rsidR="00610C32" w:rsidRPr="00AF0151" w:rsidRDefault="00186307" w:rsidP="00DB2B12">
      <w:pPr>
        <w:pStyle w:val="2"/>
        <w:spacing w:before="100" w:beforeAutospacing="1" w:after="100" w:afterAutospacing="1"/>
        <w:jc w:val="both"/>
        <w:rPr>
          <w:rFonts w:ascii="仿宋" w:eastAsia="仿宋" w:hAnsi="仿宋"/>
          <w:b/>
          <w:color w:val="auto"/>
        </w:rPr>
      </w:pPr>
      <w:bookmarkStart w:id="41" w:name="四-采用国际标准与国外先进标准的对比分析"/>
      <w:bookmarkEnd w:id="32"/>
      <w:bookmarkEnd w:id="40"/>
      <w:r w:rsidRPr="00AF0151">
        <w:rPr>
          <w:rFonts w:ascii="仿宋" w:eastAsia="仿宋" w:hAnsi="仿宋" w:hint="eastAsia"/>
          <w:b/>
          <w:color w:val="auto"/>
        </w:rPr>
        <w:t>四、</w:t>
      </w:r>
      <w:r w:rsidRPr="00AF0151">
        <w:rPr>
          <w:rFonts w:ascii="仿宋" w:eastAsia="仿宋" w:hAnsi="仿宋"/>
          <w:b/>
          <w:color w:val="auto"/>
        </w:rPr>
        <w:t xml:space="preserve"> </w:t>
      </w:r>
      <w:r w:rsidRPr="00AF0151">
        <w:rPr>
          <w:rFonts w:ascii="仿宋" w:eastAsia="仿宋" w:hAnsi="仿宋" w:cs="Times New Roman"/>
          <w:color w:val="auto"/>
        </w:rPr>
        <w:t>与国际、国外同类标准技术内容的对比情况，或者</w:t>
      </w:r>
      <w:r w:rsidRPr="00AF0151">
        <w:rPr>
          <w:rFonts w:ascii="仿宋" w:eastAsia="仿宋" w:hAnsi="仿宋" w:cs="Times New Roman" w:hint="eastAsia"/>
          <w:color w:val="auto"/>
        </w:rPr>
        <w:t>与测试的</w:t>
      </w:r>
      <w:r w:rsidRPr="00AF0151">
        <w:rPr>
          <w:rFonts w:ascii="仿宋" w:eastAsia="仿宋" w:hAnsi="仿宋" w:cs="Times New Roman"/>
          <w:color w:val="auto"/>
        </w:rPr>
        <w:t>国外样品、样机的有关数据对比情况</w:t>
      </w:r>
    </w:p>
    <w:p w14:paraId="086EE100"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在全球水产品贸易一体化的今天，我国在深远海冷水</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鳟鱼养殖领域虽属后来者，但在设施工程与海洋装备技术上已具</w:t>
      </w:r>
      <w:r w:rsidRPr="00AF0151">
        <w:rPr>
          <w:rFonts w:ascii="仿宋" w:eastAsia="仿宋" w:hAnsi="仿宋" w:hint="eastAsia"/>
          <w:sz w:val="32"/>
          <w:szCs w:val="32"/>
        </w:rPr>
        <w:lastRenderedPageBreak/>
        <w:t>备明显后发优势。因此，本标准在核心防疫参数与流行病学理念上深度对</w:t>
      </w:r>
      <w:proofErr w:type="gramStart"/>
      <w:r w:rsidRPr="00AF0151">
        <w:rPr>
          <w:rFonts w:ascii="仿宋" w:eastAsia="仿宋" w:hAnsi="仿宋" w:hint="eastAsia"/>
          <w:sz w:val="32"/>
          <w:szCs w:val="32"/>
        </w:rPr>
        <w:t>标国际</w:t>
      </w:r>
      <w:proofErr w:type="gramEnd"/>
      <w:r w:rsidRPr="00AF0151">
        <w:rPr>
          <w:rFonts w:ascii="仿宋" w:eastAsia="仿宋" w:hAnsi="仿宋" w:hint="eastAsia"/>
          <w:sz w:val="32"/>
          <w:szCs w:val="32"/>
        </w:rPr>
        <w:t>最高水准，而在现场操作规程上又紧密贴合中国复杂的苗种培育、转运和入海养殖条件与生产实务，是一部兼具国际视野与中国特色的创新性规范。</w:t>
      </w:r>
    </w:p>
    <w:p w14:paraId="20BA605F" w14:textId="77777777" w:rsidR="00610C32" w:rsidRPr="00AF0151" w:rsidRDefault="00186307" w:rsidP="00DB2B12">
      <w:pPr>
        <w:pStyle w:val="3"/>
        <w:spacing w:before="100" w:beforeAutospacing="1" w:after="100" w:afterAutospacing="1"/>
        <w:jc w:val="both"/>
        <w:rPr>
          <w:rFonts w:ascii="仿宋" w:eastAsia="仿宋" w:hAnsi="仿宋"/>
          <w:b/>
          <w:color w:val="auto"/>
          <w:sz w:val="32"/>
          <w:szCs w:val="32"/>
        </w:rPr>
      </w:pPr>
      <w:bookmarkStart w:id="42" w:name="与世界动物卫生组织woah标准体系的全面接轨"/>
      <w:r w:rsidRPr="00AF0151">
        <w:rPr>
          <w:rFonts w:ascii="仿宋" w:eastAsia="仿宋" w:hAnsi="仿宋"/>
          <w:b/>
          <w:color w:val="auto"/>
          <w:sz w:val="32"/>
          <w:szCs w:val="32"/>
        </w:rPr>
        <w:t xml:space="preserve">1. </w:t>
      </w:r>
      <w:r w:rsidRPr="00AF0151">
        <w:rPr>
          <w:rFonts w:ascii="仿宋" w:eastAsia="仿宋" w:hAnsi="仿宋" w:hint="eastAsia"/>
          <w:b/>
          <w:color w:val="auto"/>
          <w:sz w:val="32"/>
          <w:szCs w:val="32"/>
        </w:rPr>
        <w:t>与世界动物卫生组织（WOAH）标准体系的全面接轨</w:t>
      </w:r>
    </w:p>
    <w:p w14:paraId="290FDCCB"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WOAH发布的《水生动物健康法典》和《水生动物疫病诊断手册》（2025/2026年最新修订版），是目前判定一个国家或地区水产动物健康状况及裁决国际贸易争端的仲裁基准</w:t>
      </w:r>
      <w:r w:rsidRPr="00AF0151">
        <w:rPr>
          <w:rFonts w:ascii="仿宋" w:eastAsia="仿宋" w:hAnsi="仿宋"/>
          <w:sz w:val="32"/>
          <w:szCs w:val="32"/>
        </w:rPr>
        <w:t>。</w:t>
      </w:r>
      <w:r w:rsidRPr="00AF0151">
        <w:rPr>
          <w:rFonts w:ascii="仿宋" w:eastAsia="仿宋" w:hAnsi="仿宋" w:hint="eastAsia"/>
          <w:sz w:val="32"/>
          <w:szCs w:val="32"/>
        </w:rPr>
        <w:t>本标准在宏观监测上，全面吸收了WOAH对于“流行病学单元（Epidemiological</w:t>
      </w:r>
      <w:r w:rsidRPr="00AF0151">
        <w:rPr>
          <w:rFonts w:ascii="仿宋" w:eastAsia="仿宋" w:hAnsi="仿宋"/>
          <w:sz w:val="32"/>
          <w:szCs w:val="32"/>
        </w:rPr>
        <w:t xml:space="preserve"> </w:t>
      </w:r>
      <w:r w:rsidRPr="00AF0151">
        <w:rPr>
          <w:rFonts w:ascii="仿宋" w:eastAsia="仿宋" w:hAnsi="仿宋" w:hint="eastAsia"/>
          <w:sz w:val="32"/>
          <w:szCs w:val="32"/>
        </w:rPr>
        <w:t>unit）”与“易感宿主（Susceptible</w:t>
      </w:r>
      <w:r w:rsidRPr="00AF0151">
        <w:rPr>
          <w:rFonts w:ascii="仿宋" w:eastAsia="仿宋" w:hAnsi="仿宋"/>
          <w:sz w:val="32"/>
          <w:szCs w:val="32"/>
        </w:rPr>
        <w:t xml:space="preserve"> </w:t>
      </w:r>
      <w:r w:rsidRPr="00AF0151">
        <w:rPr>
          <w:rFonts w:ascii="仿宋" w:eastAsia="仿宋" w:hAnsi="仿宋" w:hint="eastAsia"/>
          <w:sz w:val="32"/>
          <w:szCs w:val="32"/>
        </w:rPr>
        <w:t>species）”的界定思维。在关键的病例定义上，本标准清晰且严密地划分了“</w:t>
      </w:r>
      <w:bookmarkStart w:id="43" w:name="OLE_LINK142"/>
      <w:bookmarkStart w:id="44" w:name="OLE_LINK143"/>
      <w:r w:rsidRPr="00AF0151">
        <w:rPr>
          <w:rFonts w:ascii="仿宋" w:eastAsia="仿宋" w:hAnsi="仿宋" w:hint="eastAsia"/>
          <w:sz w:val="32"/>
          <w:szCs w:val="32"/>
        </w:rPr>
        <w:t>疑似病例（Suspect</w:t>
      </w:r>
      <w:r w:rsidRPr="00AF0151">
        <w:rPr>
          <w:rFonts w:ascii="仿宋" w:eastAsia="仿宋" w:hAnsi="仿宋"/>
          <w:sz w:val="32"/>
          <w:szCs w:val="32"/>
        </w:rPr>
        <w:t xml:space="preserve"> </w:t>
      </w:r>
      <w:r w:rsidRPr="00AF0151">
        <w:rPr>
          <w:rFonts w:ascii="仿宋" w:eastAsia="仿宋" w:hAnsi="仿宋" w:hint="eastAsia"/>
          <w:sz w:val="32"/>
          <w:szCs w:val="32"/>
        </w:rPr>
        <w:t>case）”与“确证病例（Confirmed</w:t>
      </w:r>
      <w:r w:rsidRPr="00AF0151">
        <w:rPr>
          <w:rFonts w:ascii="仿宋" w:eastAsia="仿宋" w:hAnsi="仿宋"/>
          <w:sz w:val="32"/>
          <w:szCs w:val="32"/>
        </w:rPr>
        <w:t xml:space="preserve"> </w:t>
      </w:r>
      <w:r w:rsidRPr="00AF0151">
        <w:rPr>
          <w:rFonts w:ascii="仿宋" w:eastAsia="仿宋" w:hAnsi="仿宋" w:hint="eastAsia"/>
          <w:sz w:val="32"/>
          <w:szCs w:val="32"/>
        </w:rPr>
        <w:t>case）</w:t>
      </w:r>
      <w:bookmarkEnd w:id="43"/>
      <w:bookmarkEnd w:id="44"/>
      <w:r w:rsidRPr="00AF0151">
        <w:rPr>
          <w:rFonts w:ascii="仿宋" w:eastAsia="仿宋" w:hAnsi="仿宋" w:hint="eastAsia"/>
          <w:sz w:val="32"/>
          <w:szCs w:val="32"/>
        </w:rPr>
        <w:t>”的触发边界</w:t>
      </w:r>
      <w:r w:rsidRPr="00AF0151">
        <w:rPr>
          <w:rFonts w:ascii="仿宋" w:eastAsia="仿宋" w:hAnsi="仿宋"/>
          <w:sz w:val="32"/>
          <w:szCs w:val="32"/>
        </w:rPr>
        <w:t>。</w:t>
      </w:r>
      <w:r w:rsidRPr="00AF0151">
        <w:rPr>
          <w:rFonts w:ascii="仿宋" w:eastAsia="仿宋" w:hAnsi="仿宋" w:hint="eastAsia"/>
          <w:sz w:val="32"/>
          <w:szCs w:val="32"/>
        </w:rPr>
        <w:t>例如，本规范在术语定义中明确规定：“即使某群体自身尚未表现出任何发病症状或大体病变，但只要其与确诊</w:t>
      </w:r>
      <w:proofErr w:type="gramStart"/>
      <w:r w:rsidRPr="00AF0151">
        <w:rPr>
          <w:rFonts w:ascii="仿宋" w:eastAsia="仿宋" w:hAnsi="仿宋" w:hint="eastAsia"/>
          <w:sz w:val="32"/>
          <w:szCs w:val="32"/>
        </w:rPr>
        <w:t>疫</w:t>
      </w:r>
      <w:proofErr w:type="gramEnd"/>
      <w:r w:rsidRPr="00AF0151">
        <w:rPr>
          <w:rFonts w:ascii="仿宋" w:eastAsia="仿宋" w:hAnsi="仿宋" w:hint="eastAsia"/>
          <w:sz w:val="32"/>
          <w:szCs w:val="32"/>
        </w:rPr>
        <w:t>点存在明确的流行病学物理联系（如通过同一运输船驳接、共享同一批种苗来源、或处于同一近距离水动力洋流影响区），均必须立即将其划为疑似病例，并触发强制采样与临时移动限制”。通过“宁可错杀一千，绝不放过一个”的机制约束，完全承袭了WOAH应对VHS等高致病性、高传染性病毒扩散时所倡导的“防患于未然”的严苛防疫精神。而在具体的实验室确证环节，本规范收录</w:t>
      </w:r>
      <w:r w:rsidR="00DB2B12" w:rsidRPr="00AF0151">
        <w:rPr>
          <w:rFonts w:ascii="仿宋" w:eastAsia="仿宋" w:hAnsi="仿宋" w:hint="eastAsia"/>
          <w:sz w:val="32"/>
          <w:szCs w:val="32"/>
        </w:rPr>
        <w:t>的病原检测技术</w:t>
      </w:r>
      <w:r w:rsidRPr="00AF0151">
        <w:rPr>
          <w:rFonts w:ascii="仿宋" w:eastAsia="仿宋" w:hAnsi="仿宋" w:hint="eastAsia"/>
          <w:sz w:val="32"/>
          <w:szCs w:val="32"/>
        </w:rPr>
        <w:t>完全遵循WOAH参考实验室的推荐方案，从而确保了基于本标准出具的检测报告在未来的水产品国际互认中能够畅通无阻</w:t>
      </w:r>
      <w:r w:rsidRPr="00AF0151">
        <w:rPr>
          <w:rFonts w:ascii="仿宋" w:eastAsia="仿宋" w:hAnsi="仿宋"/>
          <w:sz w:val="32"/>
          <w:szCs w:val="32"/>
        </w:rPr>
        <w:t>。</w:t>
      </w:r>
    </w:p>
    <w:p w14:paraId="60961C7E" w14:textId="77777777" w:rsidR="00610C32" w:rsidRPr="00AF0151" w:rsidRDefault="00186307" w:rsidP="00DB2B12">
      <w:pPr>
        <w:pStyle w:val="a1"/>
        <w:adjustRightInd w:val="0"/>
        <w:snapToGrid w:val="0"/>
        <w:spacing w:before="100" w:beforeAutospacing="1" w:after="100" w:afterAutospacing="1"/>
        <w:jc w:val="center"/>
        <w:rPr>
          <w:rFonts w:ascii="仿宋" w:eastAsia="仿宋" w:hAnsi="仿宋"/>
          <w:sz w:val="32"/>
          <w:szCs w:val="32"/>
        </w:rPr>
      </w:pPr>
      <w:r w:rsidRPr="00AF0151">
        <w:rPr>
          <w:rFonts w:ascii="仿宋" w:eastAsia="仿宋" w:hAnsi="仿宋"/>
          <w:noProof/>
          <w:sz w:val="32"/>
          <w:szCs w:val="32"/>
        </w:rPr>
        <w:lastRenderedPageBreak/>
        <w:drawing>
          <wp:inline distT="0" distB="0" distL="0" distR="0" wp14:anchorId="2AB08EB2" wp14:editId="525F1A8E">
            <wp:extent cx="4609921" cy="2618477"/>
            <wp:effectExtent l="0" t="0" r="635" b="0"/>
            <wp:docPr id="1027"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a:blip r:embed="rId8" cstate="print"/>
                    <a:srcRect t="11095" b="14200"/>
                    <a:stretch/>
                  </pic:blipFill>
                  <pic:spPr>
                    <a:xfrm>
                      <a:off x="0" y="0"/>
                      <a:ext cx="4609921" cy="2618477"/>
                    </a:xfrm>
                    <a:prstGeom prst="rect">
                      <a:avLst/>
                    </a:prstGeom>
                    <a:ln>
                      <a:noFill/>
                    </a:ln>
                  </pic:spPr>
                </pic:pic>
              </a:graphicData>
            </a:graphic>
          </wp:inline>
        </w:drawing>
      </w:r>
    </w:p>
    <w:p w14:paraId="79CFED91" w14:textId="77777777" w:rsidR="00610C32" w:rsidRPr="00AF0151" w:rsidRDefault="00186307" w:rsidP="00DB2B12">
      <w:pPr>
        <w:pStyle w:val="a1"/>
        <w:adjustRightInd w:val="0"/>
        <w:snapToGrid w:val="0"/>
        <w:spacing w:before="100" w:beforeAutospacing="1" w:after="100" w:afterAutospacing="1"/>
        <w:jc w:val="center"/>
        <w:rPr>
          <w:rFonts w:ascii="仿宋" w:eastAsia="仿宋" w:hAnsi="仿宋"/>
          <w:sz w:val="32"/>
          <w:szCs w:val="32"/>
        </w:rPr>
      </w:pPr>
      <w:r w:rsidRPr="00AF0151">
        <w:rPr>
          <w:rFonts w:ascii="仿宋" w:eastAsia="仿宋" w:hAnsi="仿宋" w:hint="eastAsia"/>
          <w:sz w:val="32"/>
          <w:szCs w:val="32"/>
        </w:rPr>
        <w:t>图4</w:t>
      </w:r>
      <w:r w:rsidRPr="00AF0151">
        <w:rPr>
          <w:rFonts w:ascii="仿宋" w:eastAsia="仿宋" w:hAnsi="仿宋"/>
          <w:sz w:val="32"/>
          <w:szCs w:val="32"/>
        </w:rPr>
        <w:t xml:space="preserve">-1 </w:t>
      </w:r>
      <w:r w:rsidRPr="00AF0151">
        <w:rPr>
          <w:rFonts w:ascii="仿宋" w:eastAsia="仿宋" w:hAnsi="仿宋" w:hint="eastAsia"/>
          <w:sz w:val="32"/>
          <w:szCs w:val="32"/>
        </w:rPr>
        <w:t>海水养殖</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鳟鱼疫病监测与应急响应规范化流程图</w:t>
      </w:r>
    </w:p>
    <w:p w14:paraId="38D9C977" w14:textId="77777777" w:rsidR="00610C32" w:rsidRPr="00AF0151" w:rsidRDefault="00186307" w:rsidP="00DB2B12">
      <w:pPr>
        <w:pStyle w:val="a1"/>
        <w:adjustRightInd w:val="0"/>
        <w:snapToGrid w:val="0"/>
        <w:spacing w:before="100" w:beforeAutospacing="1" w:after="100" w:afterAutospacing="1"/>
        <w:ind w:firstLineChars="200" w:firstLine="640"/>
        <w:rPr>
          <w:rFonts w:ascii="仿宋" w:eastAsia="仿宋" w:hAnsi="仿宋"/>
          <w:sz w:val="32"/>
          <w:szCs w:val="32"/>
        </w:rPr>
      </w:pPr>
      <w:r w:rsidRPr="00AF0151">
        <w:rPr>
          <w:rFonts w:ascii="仿宋" w:eastAsia="仿宋" w:hAnsi="仿宋" w:hint="eastAsia"/>
          <w:sz w:val="32"/>
          <w:szCs w:val="32"/>
        </w:rPr>
        <w:t>本规范严格界定了疑似病例与确证病例的边界，构建了从“发现异常”到“取样送检”，再到“临时封锁与应急处置”的闭环生物安全管理链条（图4</w:t>
      </w:r>
      <w:r w:rsidRPr="00AF0151">
        <w:rPr>
          <w:rFonts w:ascii="仿宋" w:eastAsia="仿宋" w:hAnsi="仿宋"/>
          <w:sz w:val="32"/>
          <w:szCs w:val="32"/>
        </w:rPr>
        <w:t>-1</w:t>
      </w:r>
      <w:r w:rsidRPr="00AF0151">
        <w:rPr>
          <w:rFonts w:ascii="仿宋" w:eastAsia="仿宋" w:hAnsi="仿宋" w:hint="eastAsia"/>
          <w:sz w:val="32"/>
          <w:szCs w:val="32"/>
        </w:rPr>
        <w:t>）。</w:t>
      </w:r>
    </w:p>
    <w:p w14:paraId="1612A264" w14:textId="77777777" w:rsidR="00610C32" w:rsidRPr="00AF0151" w:rsidRDefault="00186307" w:rsidP="00DB2B12">
      <w:pPr>
        <w:pStyle w:val="3"/>
        <w:spacing w:before="100" w:beforeAutospacing="1" w:after="100" w:afterAutospacing="1"/>
        <w:jc w:val="both"/>
        <w:rPr>
          <w:rFonts w:ascii="仿宋" w:eastAsia="仿宋" w:hAnsi="仿宋"/>
          <w:b/>
          <w:color w:val="auto"/>
          <w:sz w:val="32"/>
          <w:szCs w:val="32"/>
        </w:rPr>
      </w:pPr>
      <w:bookmarkStart w:id="45" w:name="海虱寄生虫病监测阈值设定的国际博弈与极严采纳"/>
      <w:bookmarkEnd w:id="42"/>
      <w:r w:rsidRPr="00AF0151">
        <w:rPr>
          <w:rFonts w:ascii="仿宋" w:eastAsia="仿宋" w:hAnsi="仿宋"/>
          <w:b/>
          <w:color w:val="auto"/>
          <w:sz w:val="32"/>
          <w:szCs w:val="32"/>
        </w:rPr>
        <w:t xml:space="preserve">2. </w:t>
      </w:r>
      <w:r w:rsidRPr="00AF0151">
        <w:rPr>
          <w:rFonts w:ascii="仿宋" w:eastAsia="仿宋" w:hAnsi="仿宋" w:hint="eastAsia"/>
          <w:b/>
          <w:color w:val="auto"/>
          <w:sz w:val="32"/>
          <w:szCs w:val="32"/>
        </w:rPr>
        <w:t>海</w:t>
      </w:r>
      <w:proofErr w:type="gramStart"/>
      <w:r w:rsidRPr="00AF0151">
        <w:rPr>
          <w:rFonts w:ascii="仿宋" w:eastAsia="仿宋" w:hAnsi="仿宋" w:hint="eastAsia"/>
          <w:b/>
          <w:color w:val="auto"/>
          <w:sz w:val="32"/>
          <w:szCs w:val="32"/>
        </w:rPr>
        <w:t>虱</w:t>
      </w:r>
      <w:proofErr w:type="gramEnd"/>
      <w:r w:rsidRPr="00AF0151">
        <w:rPr>
          <w:rFonts w:ascii="仿宋" w:eastAsia="仿宋" w:hAnsi="仿宋" w:hint="eastAsia"/>
          <w:b/>
          <w:color w:val="auto"/>
          <w:sz w:val="32"/>
          <w:szCs w:val="32"/>
        </w:rPr>
        <w:t>寄生虫病监测阈值设定的全面考虑</w:t>
      </w:r>
    </w:p>
    <w:p w14:paraId="63EC86BB"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在海水养殖领域，海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（主要是以宿主表皮、黏液和血液为食的</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疮痂鱼</w:t>
      </w:r>
      <w:proofErr w:type="gramStart"/>
      <w:r w:rsidRPr="00AF0151">
        <w:rPr>
          <w:rFonts w:ascii="仿宋" w:eastAsia="仿宋" w:hAnsi="仿宋" w:hint="eastAsia"/>
          <w:sz w:val="32"/>
          <w:szCs w:val="32"/>
        </w:rPr>
        <w:t>虱</w:t>
      </w:r>
      <w:proofErr w:type="gramEnd"/>
      <w:r w:rsidRPr="00AF0151">
        <w:rPr>
          <w:rFonts w:ascii="仿宋" w:eastAsia="仿宋" w:hAnsi="仿宋"/>
          <w:sz w:val="32"/>
          <w:szCs w:val="32"/>
        </w:rPr>
        <w:t xml:space="preserve"> </w:t>
      </w:r>
      <w:r w:rsidRPr="00AF0151">
        <w:rPr>
          <w:rFonts w:ascii="仿宋" w:eastAsia="仿宋" w:hAnsi="仿宋"/>
          <w:i/>
          <w:iCs/>
          <w:sz w:val="32"/>
          <w:szCs w:val="32"/>
        </w:rPr>
        <w:t xml:space="preserve">L. </w:t>
      </w:r>
      <w:proofErr w:type="spellStart"/>
      <w:r w:rsidRPr="00AF0151">
        <w:rPr>
          <w:rFonts w:ascii="仿宋" w:eastAsia="仿宋" w:hAnsi="仿宋"/>
          <w:i/>
          <w:iCs/>
          <w:sz w:val="32"/>
          <w:szCs w:val="32"/>
        </w:rPr>
        <w:t>salmonis</w:t>
      </w:r>
      <w:proofErr w:type="spellEnd"/>
      <w:r w:rsidRPr="00AF0151">
        <w:rPr>
          <w:rFonts w:ascii="仿宋" w:eastAsia="仿宋" w:hAnsi="仿宋" w:hint="eastAsia"/>
          <w:sz w:val="32"/>
          <w:szCs w:val="32"/>
        </w:rPr>
        <w:t>）是全球</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鳟鱼业界公认的头号寄生虫。它不仅严重践踏鱼类动物福利，更是多种致命病原的天然生物载体</w:t>
      </w:r>
      <w:r w:rsidRPr="00AF0151">
        <w:rPr>
          <w:rFonts w:ascii="仿宋" w:eastAsia="仿宋" w:hAnsi="仿宋"/>
          <w:sz w:val="32"/>
          <w:szCs w:val="32"/>
        </w:rPr>
        <w:t xml:space="preserve"> </w:t>
      </w:r>
      <w:r w:rsidRPr="00AF0151">
        <w:rPr>
          <w:rFonts w:ascii="仿宋" w:eastAsia="仿宋" w:hAnsi="仿宋" w:hint="eastAsia"/>
          <w:sz w:val="32"/>
          <w:szCs w:val="32"/>
        </w:rPr>
        <w:t>。全球各大传统鲑鱼出产国对海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的容忍底线反映了其监管理念的差异：</w:t>
      </w:r>
    </w:p>
    <w:p w14:paraId="03F99AD0" w14:textId="77777777" w:rsidR="00610C32"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（1）挪威模式（</w:t>
      </w:r>
      <w:proofErr w:type="spellStart"/>
      <w:r w:rsidRPr="00AF0151">
        <w:rPr>
          <w:rFonts w:ascii="仿宋" w:eastAsia="仿宋" w:hAnsi="仿宋" w:hint="eastAsia"/>
          <w:b/>
          <w:bCs/>
          <w:sz w:val="32"/>
          <w:szCs w:val="32"/>
        </w:rPr>
        <w:t>Mattilsynet</w:t>
      </w:r>
      <w:proofErr w:type="spellEnd"/>
      <w:r w:rsidRPr="00AF0151">
        <w:rPr>
          <w:rFonts w:ascii="仿宋" w:eastAsia="仿宋" w:hAnsi="仿宋" w:hint="eastAsia"/>
          <w:b/>
          <w:bCs/>
          <w:sz w:val="32"/>
          <w:szCs w:val="32"/>
        </w:rPr>
        <w:t>监管体系）</w:t>
      </w:r>
      <w:r w:rsidRPr="00AF0151">
        <w:rPr>
          <w:rFonts w:ascii="仿宋" w:eastAsia="仿宋" w:hAnsi="仿宋" w:hint="eastAsia"/>
          <w:sz w:val="32"/>
          <w:szCs w:val="32"/>
        </w:rPr>
        <w:t>：代表了全球最高级别的生态保护强制力。其法律规定，常规时期每尾鱼身上的成虫雌</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绝对数量不得超过0.5只；而在春季野生鲑鱼向海洋洄游的关键敏感期（为保护野生种群免受网箱外溢感染），这一阈值更是被严酷地压缩至0.2只以下。一旦超标，企业将被重罚甚至强制削减下一产季的养殖配额（Traffic</w:t>
      </w:r>
      <w:r w:rsidRPr="00AF0151">
        <w:rPr>
          <w:rFonts w:ascii="仿宋" w:eastAsia="仿宋" w:hAnsi="仿宋"/>
          <w:sz w:val="32"/>
          <w:szCs w:val="32"/>
        </w:rPr>
        <w:t xml:space="preserve"> Light </w:t>
      </w:r>
      <w:r w:rsidRPr="00AF0151">
        <w:rPr>
          <w:rFonts w:ascii="仿宋" w:eastAsia="仿宋" w:hAnsi="仿宋" w:hint="eastAsia"/>
          <w:sz w:val="32"/>
          <w:szCs w:val="32"/>
        </w:rPr>
        <w:t>System）。</w:t>
      </w:r>
    </w:p>
    <w:p w14:paraId="19B4E01A" w14:textId="77777777" w:rsidR="00610C32"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lastRenderedPageBreak/>
        <w:t>（2）苏格兰与智利模式</w:t>
      </w:r>
      <w:r w:rsidRPr="00AF0151">
        <w:rPr>
          <w:rFonts w:ascii="仿宋" w:eastAsia="仿宋" w:hAnsi="仿宋" w:hint="eastAsia"/>
          <w:sz w:val="32"/>
          <w:szCs w:val="32"/>
        </w:rPr>
        <w:t>：监管相对宽松。苏格兰环保局（SEPA）规定平均每尾鱼达2只雌</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时需启动上报，达6只才触发强制干预。智利（</w:t>
      </w:r>
      <w:proofErr w:type="spellStart"/>
      <w:r w:rsidRPr="00AF0151">
        <w:rPr>
          <w:rFonts w:ascii="仿宋" w:eastAsia="仿宋" w:hAnsi="仿宋" w:hint="eastAsia"/>
          <w:sz w:val="32"/>
          <w:szCs w:val="32"/>
        </w:rPr>
        <w:t>Sernapesca</w:t>
      </w:r>
      <w:proofErr w:type="spellEnd"/>
      <w:r w:rsidRPr="00AF0151">
        <w:rPr>
          <w:rFonts w:ascii="仿宋" w:eastAsia="仿宋" w:hAnsi="仿宋" w:hint="eastAsia"/>
          <w:sz w:val="32"/>
          <w:szCs w:val="32"/>
        </w:rPr>
        <w:t>）由于长期饱受寄生虫抗药性折磨，其法定干预阈值设为平均3只抱卵雌性成虫/尾。加拿大则针对特定野生幼</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洄游期（3-6月）设定了3只活动期海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的干预阈值</w:t>
      </w:r>
      <w:r w:rsidRPr="00AF0151">
        <w:rPr>
          <w:rFonts w:ascii="仿宋" w:eastAsia="仿宋" w:hAnsi="仿宋"/>
          <w:sz w:val="32"/>
          <w:szCs w:val="32"/>
        </w:rPr>
        <w:t>。</w:t>
      </w:r>
    </w:p>
    <w:p w14:paraId="4B06044F"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起草组在对比水文资料后认为：我国部分用于深水网箱养殖的近海至深远海区域属于典型的高盐度开放性水体，且缺乏水交换的物理屏障，可能成为海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被动引入后暴发繁衍的“完美温床”。更为棘手的是，我国尚不具备像欧洲那样利用圆鳍鱼（Lumpfish）</w:t>
      </w:r>
      <w:proofErr w:type="gramStart"/>
      <w:r w:rsidRPr="00AF0151">
        <w:rPr>
          <w:rFonts w:ascii="仿宋" w:eastAsia="仿宋" w:hAnsi="仿宋" w:hint="eastAsia"/>
          <w:sz w:val="32"/>
          <w:szCs w:val="32"/>
        </w:rPr>
        <w:t>或隆头鱼</w:t>
      </w:r>
      <w:proofErr w:type="gramEnd"/>
      <w:r w:rsidRPr="00AF0151">
        <w:rPr>
          <w:rFonts w:ascii="仿宋" w:eastAsia="仿宋" w:hAnsi="仿宋" w:hint="eastAsia"/>
          <w:sz w:val="32"/>
          <w:szCs w:val="32"/>
        </w:rPr>
        <w:t>等清洁鱼（Cleaner</w:t>
      </w:r>
      <w:r w:rsidRPr="00AF0151">
        <w:rPr>
          <w:rFonts w:ascii="仿宋" w:eastAsia="仿宋" w:hAnsi="仿宋"/>
          <w:sz w:val="32"/>
          <w:szCs w:val="32"/>
        </w:rPr>
        <w:t xml:space="preserve"> </w:t>
      </w:r>
      <w:r w:rsidRPr="00AF0151">
        <w:rPr>
          <w:rFonts w:ascii="仿宋" w:eastAsia="仿宋" w:hAnsi="仿宋" w:hint="eastAsia"/>
          <w:sz w:val="32"/>
          <w:szCs w:val="32"/>
        </w:rPr>
        <w:t>fish）进行大规模生物除</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的成熟配套产业链</w:t>
      </w:r>
      <w:r w:rsidRPr="00AF0151">
        <w:rPr>
          <w:rFonts w:ascii="仿宋" w:eastAsia="仿宋" w:hAnsi="仿宋"/>
          <w:sz w:val="32"/>
          <w:szCs w:val="32"/>
        </w:rPr>
        <w:t xml:space="preserve"> </w:t>
      </w:r>
      <w:r w:rsidRPr="00AF0151">
        <w:rPr>
          <w:rFonts w:ascii="仿宋" w:eastAsia="仿宋" w:hAnsi="仿宋" w:hint="eastAsia"/>
          <w:sz w:val="32"/>
          <w:szCs w:val="32"/>
        </w:rPr>
        <w:t>。若不一开始就施加雷霆之</w:t>
      </w:r>
      <w:proofErr w:type="gramStart"/>
      <w:r w:rsidRPr="00AF0151">
        <w:rPr>
          <w:rFonts w:ascii="仿宋" w:eastAsia="仿宋" w:hAnsi="仿宋" w:hint="eastAsia"/>
          <w:sz w:val="32"/>
          <w:szCs w:val="32"/>
        </w:rPr>
        <w:t>势予以</w:t>
      </w:r>
      <w:proofErr w:type="gramEnd"/>
      <w:r w:rsidRPr="00AF0151">
        <w:rPr>
          <w:rFonts w:ascii="仿宋" w:eastAsia="仿宋" w:hAnsi="仿宋" w:hint="eastAsia"/>
          <w:sz w:val="32"/>
          <w:szCs w:val="32"/>
        </w:rPr>
        <w:t>高压遏制，我国刚刚兴起的海洋</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鳟鱼产业必将迅速陷入因滥用化学杀虫剂而导致的药物残留与抗药性恶性循环。基于上述远见，本标准</w:t>
      </w:r>
      <w:r w:rsidRPr="00AF0151">
        <w:rPr>
          <w:rFonts w:ascii="仿宋" w:eastAsia="仿宋" w:hAnsi="仿宋" w:hint="eastAsia"/>
          <w:b/>
          <w:bCs/>
          <w:sz w:val="32"/>
          <w:szCs w:val="32"/>
        </w:rPr>
        <w:t>全面采纳并直接对标了挪威的顶格极严环保标准</w:t>
      </w:r>
      <w:r w:rsidR="00DB2B12" w:rsidRPr="00AF0151">
        <w:rPr>
          <w:rFonts w:ascii="仿宋" w:eastAsia="仿宋" w:hAnsi="仿宋" w:hint="eastAsia"/>
          <w:sz w:val="32"/>
          <w:szCs w:val="32"/>
        </w:rPr>
        <w:t>，</w:t>
      </w:r>
      <w:r w:rsidRPr="00AF0151">
        <w:rPr>
          <w:rFonts w:ascii="仿宋" w:eastAsia="仿宋" w:hAnsi="仿宋" w:hint="eastAsia"/>
          <w:sz w:val="32"/>
          <w:szCs w:val="32"/>
        </w:rPr>
        <w:t>将我国的海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触发阈值设定为：“常规期&lt;0.5只成虫雌</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/尾；野生鱼类洄游敏感期降至0.2只/尾”。一旦监测</w:t>
      </w:r>
      <w:proofErr w:type="gramStart"/>
      <w:r w:rsidRPr="00AF0151">
        <w:rPr>
          <w:rFonts w:ascii="仿宋" w:eastAsia="仿宋" w:hAnsi="仿宋" w:hint="eastAsia"/>
          <w:sz w:val="32"/>
          <w:szCs w:val="32"/>
        </w:rPr>
        <w:t>越过此红线</w:t>
      </w:r>
      <w:proofErr w:type="gramEnd"/>
      <w:r w:rsidRPr="00AF0151">
        <w:rPr>
          <w:rFonts w:ascii="仿宋" w:eastAsia="仿宋" w:hAnsi="仿宋" w:hint="eastAsia"/>
          <w:sz w:val="32"/>
          <w:szCs w:val="32"/>
        </w:rPr>
        <w:t>，系统立刻触发红灯，强制养殖场限期采取温水浴、淡水冲洗等绿色物理疗法。这一条款的引入，有利于我国在海洋水产寄生虫福利化、规范化管理上保持高标准。</w:t>
      </w:r>
    </w:p>
    <w:p w14:paraId="40E033C0" w14:textId="77777777" w:rsidR="00610C32" w:rsidRPr="00AF0151" w:rsidRDefault="00186307" w:rsidP="00DB2B12">
      <w:pPr>
        <w:pStyle w:val="3"/>
        <w:spacing w:before="100" w:beforeAutospacing="1" w:after="100" w:afterAutospacing="1"/>
        <w:jc w:val="both"/>
        <w:rPr>
          <w:rFonts w:ascii="仿宋" w:eastAsia="仿宋" w:hAnsi="仿宋"/>
          <w:b/>
          <w:color w:val="auto"/>
          <w:sz w:val="32"/>
          <w:szCs w:val="32"/>
        </w:rPr>
      </w:pPr>
      <w:bookmarkStart w:id="46" w:name="汲取智利srs惨痛教训引入综合防控制度pgsa"/>
      <w:bookmarkEnd w:id="45"/>
      <w:r w:rsidRPr="00AF0151">
        <w:rPr>
          <w:rFonts w:ascii="仿宋" w:eastAsia="仿宋" w:hAnsi="仿宋"/>
          <w:b/>
          <w:color w:val="auto"/>
          <w:sz w:val="32"/>
          <w:szCs w:val="32"/>
        </w:rPr>
        <w:t xml:space="preserve">3. </w:t>
      </w:r>
      <w:r w:rsidRPr="00AF0151">
        <w:rPr>
          <w:rFonts w:ascii="仿宋" w:eastAsia="仿宋" w:hAnsi="仿宋" w:hint="eastAsia"/>
          <w:b/>
          <w:color w:val="auto"/>
          <w:sz w:val="32"/>
          <w:szCs w:val="32"/>
        </w:rPr>
        <w:t>汲取智利SRS惨痛教训，引入综合</w:t>
      </w:r>
      <w:proofErr w:type="gramStart"/>
      <w:r w:rsidRPr="00AF0151">
        <w:rPr>
          <w:rFonts w:ascii="仿宋" w:eastAsia="仿宋" w:hAnsi="仿宋" w:hint="eastAsia"/>
          <w:b/>
          <w:color w:val="auto"/>
          <w:sz w:val="32"/>
          <w:szCs w:val="32"/>
        </w:rPr>
        <w:t>防控制</w:t>
      </w:r>
      <w:proofErr w:type="gramEnd"/>
      <w:r w:rsidRPr="00AF0151">
        <w:rPr>
          <w:rFonts w:ascii="仿宋" w:eastAsia="仿宋" w:hAnsi="仿宋" w:hint="eastAsia"/>
          <w:b/>
          <w:color w:val="auto"/>
          <w:sz w:val="32"/>
          <w:szCs w:val="32"/>
        </w:rPr>
        <w:t>度（PGSA）</w:t>
      </w:r>
    </w:p>
    <w:p w14:paraId="742E198C"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针对防不胜防的</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立克次体病（SRS），本规范深刻借鉴了智利水产养殖健康管理计划（PGSA）的宝贵经验。智利作为多年深受SRS毒害的重灾区，用巨大代价验证了一个事实：即便接种了商业疫苗（如目前主流基于EM-90等单一基因型的减毒或灭活苗），面对复杂开放海域中如LF-89等变异株的野外攻击，单一的疫苗屏障依然显得苍白无力，相对存活率（RPS）难以达到理想保护预期</w:t>
      </w:r>
      <w:r w:rsidRPr="00AF0151">
        <w:rPr>
          <w:rFonts w:ascii="仿宋" w:eastAsia="仿宋" w:hAnsi="仿宋"/>
          <w:sz w:val="32"/>
          <w:szCs w:val="32"/>
        </w:rPr>
        <w:t>。</w:t>
      </w:r>
      <w:r w:rsidRPr="00AF0151">
        <w:rPr>
          <w:rFonts w:ascii="仿宋" w:eastAsia="仿宋" w:hAnsi="仿宋" w:hint="eastAsia"/>
          <w:sz w:val="32"/>
          <w:szCs w:val="32"/>
        </w:rPr>
        <w:t>因此，本标准坚决跳出了单纯依赖</w:t>
      </w:r>
      <w:r w:rsidRPr="00AF0151">
        <w:rPr>
          <w:rFonts w:ascii="仿宋" w:eastAsia="仿宋" w:hAnsi="仿宋" w:hint="eastAsia"/>
          <w:sz w:val="32"/>
          <w:szCs w:val="32"/>
        </w:rPr>
        <w:lastRenderedPageBreak/>
        <w:t>“打疫苗”或“喂抗生素”的狭隘生物防御窠臼，转而从更高维度的环境卫生学及工程控制学着手。</w:t>
      </w:r>
    </w:p>
    <w:p w14:paraId="27971708" w14:textId="77777777" w:rsidR="00610C32" w:rsidRPr="00AF0151" w:rsidRDefault="00186307" w:rsidP="00DB2B12">
      <w:pPr>
        <w:pStyle w:val="2"/>
        <w:spacing w:before="100" w:beforeAutospacing="1" w:after="100" w:afterAutospacing="1"/>
        <w:jc w:val="both"/>
        <w:rPr>
          <w:rFonts w:ascii="仿宋" w:eastAsia="仿宋" w:hAnsi="仿宋"/>
          <w:b/>
          <w:color w:val="auto"/>
        </w:rPr>
      </w:pPr>
      <w:r w:rsidRPr="00AF0151">
        <w:rPr>
          <w:rFonts w:ascii="仿宋" w:eastAsia="仿宋" w:hAnsi="仿宋"/>
          <w:b/>
          <w:color w:val="auto"/>
        </w:rPr>
        <w:t>五、以国际标准的为基础的起草情况，以及是否合</w:t>
      </w:r>
      <w:proofErr w:type="gramStart"/>
      <w:r w:rsidRPr="00AF0151">
        <w:rPr>
          <w:rFonts w:ascii="仿宋" w:eastAsia="仿宋" w:hAnsi="仿宋"/>
          <w:b/>
          <w:color w:val="auto"/>
        </w:rPr>
        <w:t>规</w:t>
      </w:r>
      <w:proofErr w:type="gramEnd"/>
      <w:r w:rsidRPr="00AF0151">
        <w:rPr>
          <w:rFonts w:ascii="仿宋" w:eastAsia="仿宋" w:hAnsi="仿宋"/>
          <w:b/>
          <w:color w:val="auto"/>
        </w:rPr>
        <w:t>引用或者采用国际国外标准，并说明未采用国际标准的原因</w:t>
      </w:r>
    </w:p>
    <w:p w14:paraId="6A5B5B74"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国外无同类方法或标准，因此未采用国际与国外标准。</w:t>
      </w:r>
    </w:p>
    <w:p w14:paraId="4DD07144"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cs="Times New Roman"/>
          <w:sz w:val="32"/>
          <w:szCs w:val="32"/>
        </w:rPr>
      </w:pPr>
      <w:r w:rsidRPr="00AF0151">
        <w:rPr>
          <w:rFonts w:ascii="仿宋" w:eastAsia="仿宋" w:hAnsi="仿宋" w:hint="eastAsia"/>
          <w:sz w:val="32"/>
          <w:szCs w:val="32"/>
        </w:rPr>
        <w:t>本标准所规定的检测方法具有明显的先进性，以及较强的实用性和适用性。</w:t>
      </w:r>
    </w:p>
    <w:p w14:paraId="50962EC5" w14:textId="77777777" w:rsidR="00610C32" w:rsidRPr="00AF0151" w:rsidRDefault="00186307" w:rsidP="00DB2B12">
      <w:pPr>
        <w:pStyle w:val="2"/>
        <w:spacing w:before="100" w:beforeAutospacing="1" w:after="100" w:afterAutospacing="1"/>
        <w:jc w:val="both"/>
        <w:rPr>
          <w:rFonts w:ascii="仿宋" w:eastAsia="仿宋" w:hAnsi="仿宋"/>
          <w:b/>
          <w:color w:val="auto"/>
        </w:rPr>
      </w:pPr>
      <w:bookmarkStart w:id="47" w:name="五-与现行法律法规政策及相关标准的协调性"/>
      <w:bookmarkEnd w:id="41"/>
      <w:bookmarkEnd w:id="46"/>
      <w:r w:rsidRPr="00AF0151">
        <w:rPr>
          <w:rFonts w:ascii="仿宋" w:eastAsia="仿宋" w:hAnsi="仿宋" w:hint="eastAsia"/>
          <w:b/>
          <w:color w:val="auto"/>
        </w:rPr>
        <w:t>六、</w:t>
      </w:r>
      <w:r w:rsidRPr="00AF0151">
        <w:rPr>
          <w:rFonts w:ascii="仿宋" w:eastAsia="仿宋" w:hAnsi="仿宋"/>
          <w:b/>
          <w:color w:val="auto"/>
        </w:rPr>
        <w:t xml:space="preserve"> </w:t>
      </w:r>
      <w:r w:rsidRPr="00AF0151">
        <w:rPr>
          <w:rFonts w:ascii="仿宋" w:eastAsia="仿宋" w:hAnsi="仿宋" w:hint="eastAsia"/>
          <w:b/>
          <w:color w:val="auto"/>
        </w:rPr>
        <w:t>与有关法律、法规及相关标准的关系</w:t>
      </w:r>
    </w:p>
    <w:p w14:paraId="2C8D1914"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本标准遵守《动物防疫法》的要求以及国际标准组织WOAH的规程。标准的文本编写格式严格遵循国家标准《标准化工作导则—第1部分：标准化文件的结构和起草规则》（GB/T 1.1—2020）的要求。目的在于规范海水养殖</w:t>
      </w:r>
      <w:proofErr w:type="gramStart"/>
      <w:r w:rsidRPr="00AF0151">
        <w:rPr>
          <w:rFonts w:ascii="仿宋" w:eastAsia="仿宋" w:hAnsi="仿宋" w:hint="eastAsia"/>
          <w:sz w:val="32"/>
          <w:szCs w:val="32"/>
        </w:rPr>
        <w:t>鲑鳟</w:t>
      </w:r>
      <w:proofErr w:type="gramEnd"/>
      <w:r w:rsidRPr="00AF0151">
        <w:rPr>
          <w:rFonts w:ascii="仿宋" w:eastAsia="仿宋" w:hAnsi="仿宋" w:hint="eastAsia"/>
          <w:sz w:val="32"/>
          <w:szCs w:val="32"/>
        </w:rPr>
        <w:t>类疫病监测方法，准确筛查养殖</w:t>
      </w:r>
      <w:proofErr w:type="gramStart"/>
      <w:r w:rsidRPr="00AF0151">
        <w:rPr>
          <w:rFonts w:ascii="仿宋" w:eastAsia="仿宋" w:hAnsi="仿宋" w:hint="eastAsia"/>
          <w:sz w:val="32"/>
          <w:szCs w:val="32"/>
        </w:rPr>
        <w:t>鲑鳟</w:t>
      </w:r>
      <w:proofErr w:type="gramEnd"/>
      <w:r w:rsidRPr="00AF0151">
        <w:rPr>
          <w:rFonts w:ascii="仿宋" w:eastAsia="仿宋" w:hAnsi="仿宋" w:hint="eastAsia"/>
          <w:sz w:val="32"/>
          <w:szCs w:val="32"/>
        </w:rPr>
        <w:t>类中病原风险情况，防止病原传播，有利于提高水产养殖的健康管理和进出口检疫的水平。《中华人民共和国渔业法》规定“明确县级以上人民政府渔业行政主管部门应当加强对养殖生产的技术指导和病害防治工作，同时，明确水产苗种的进口、出口必须实施检疫，防止病害传入境内和传出境外”。本标准为政府渔业部门对海水养殖</w:t>
      </w:r>
      <w:proofErr w:type="gramStart"/>
      <w:r w:rsidRPr="00AF0151">
        <w:rPr>
          <w:rFonts w:ascii="仿宋" w:eastAsia="仿宋" w:hAnsi="仿宋" w:hint="eastAsia"/>
          <w:sz w:val="32"/>
          <w:szCs w:val="32"/>
        </w:rPr>
        <w:t>鲑鳟</w:t>
      </w:r>
      <w:proofErr w:type="gramEnd"/>
      <w:r w:rsidRPr="00AF0151">
        <w:rPr>
          <w:rFonts w:ascii="仿宋" w:eastAsia="仿宋" w:hAnsi="仿宋" w:hint="eastAsia"/>
          <w:sz w:val="32"/>
          <w:szCs w:val="32"/>
        </w:rPr>
        <w:t>类的病害防治提供了技术支持。《中华人民共和国动物防疫法》对动物疫病的预防，疫情报告、通报和公布，疫病的控制和扑灭，动物和动物产品的检疫，动物诊疗，监督管理和保障措施等内容做了具体规定。本标准为海水养殖</w:t>
      </w:r>
      <w:proofErr w:type="gramStart"/>
      <w:r w:rsidRPr="00AF0151">
        <w:rPr>
          <w:rFonts w:ascii="仿宋" w:eastAsia="仿宋" w:hAnsi="仿宋" w:hint="eastAsia"/>
          <w:sz w:val="32"/>
          <w:szCs w:val="32"/>
        </w:rPr>
        <w:t>鲑鳟</w:t>
      </w:r>
      <w:proofErr w:type="gramEnd"/>
      <w:r w:rsidRPr="00AF0151">
        <w:rPr>
          <w:rFonts w:ascii="仿宋" w:eastAsia="仿宋" w:hAnsi="仿宋" w:hint="eastAsia"/>
          <w:sz w:val="32"/>
          <w:szCs w:val="32"/>
        </w:rPr>
        <w:t>类疫病的预防、监测、检疫和动物诊疗提供了技术支持。《中华人民共和国农产品质量安全法》规定“明确县级以上人民政府农业行政主管部门应当采取措施，推进保障农产品质量安全的标准化生产综合示范区、示范农场、养殖小区和无规定动植物疫病区的建设；依法需要实施检疫的动植物及其产品，应当附具检疫合格标志、</w:t>
      </w:r>
      <w:r w:rsidRPr="00AF0151">
        <w:rPr>
          <w:rFonts w:ascii="仿宋" w:eastAsia="仿宋" w:hAnsi="仿宋" w:hint="eastAsia"/>
          <w:sz w:val="32"/>
          <w:szCs w:val="32"/>
        </w:rPr>
        <w:lastRenderedPageBreak/>
        <w:t>检疫合格证明；农产品生产企业和农民专业合作经济组织应当建立农产品生产记录，如实记载动物疫病、植物病虫草害的发生和防治情况等”。本标准为海水养殖</w:t>
      </w:r>
      <w:proofErr w:type="gramStart"/>
      <w:r w:rsidRPr="00AF0151">
        <w:rPr>
          <w:rFonts w:ascii="仿宋" w:eastAsia="仿宋" w:hAnsi="仿宋" w:hint="eastAsia"/>
          <w:sz w:val="32"/>
          <w:szCs w:val="32"/>
        </w:rPr>
        <w:t>鲑鳟</w:t>
      </w:r>
      <w:proofErr w:type="gramEnd"/>
      <w:r w:rsidRPr="00AF0151">
        <w:rPr>
          <w:rFonts w:ascii="仿宋" w:eastAsia="仿宋" w:hAnsi="仿宋" w:hint="eastAsia"/>
          <w:sz w:val="32"/>
          <w:szCs w:val="32"/>
        </w:rPr>
        <w:t>类检疫提供技术支持。</w:t>
      </w:r>
    </w:p>
    <w:p w14:paraId="3C07E21E"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同时，从宏观法律要求和微观操作层面，本规范：</w:t>
      </w:r>
    </w:p>
    <w:p w14:paraId="157A682D" w14:textId="77777777" w:rsidR="00DB2B12"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bookmarkStart w:id="48" w:name="OLE_LINK152"/>
      <w:r w:rsidRPr="00AF0151">
        <w:rPr>
          <w:rFonts w:ascii="仿宋" w:eastAsia="仿宋" w:hAnsi="仿宋" w:hint="eastAsia"/>
          <w:b/>
          <w:bCs/>
          <w:sz w:val="32"/>
          <w:szCs w:val="32"/>
        </w:rPr>
        <w:t>（1）贯彻了《中华人民共和国动物防疫法》与《生物安全法》精神</w:t>
      </w:r>
    </w:p>
    <w:p w14:paraId="13FB4092"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本法明确规定了重大动物疫情的监测预警、紧急报告及扑灭机制。本规范在第</w:t>
      </w:r>
      <w:r w:rsidR="00DB2B12" w:rsidRPr="00AF0151">
        <w:rPr>
          <w:rFonts w:ascii="仿宋" w:eastAsia="仿宋" w:hAnsi="仿宋"/>
          <w:sz w:val="32"/>
          <w:szCs w:val="32"/>
        </w:rPr>
        <w:t>8</w:t>
      </w:r>
      <w:r w:rsidRPr="00AF0151">
        <w:rPr>
          <w:rFonts w:ascii="仿宋" w:eastAsia="仿宋" w:hAnsi="仿宋" w:hint="eastAsia"/>
          <w:sz w:val="32"/>
          <w:szCs w:val="32"/>
        </w:rPr>
        <w:t>章“数据记录、报告与应急响应”中设定了技术要求：“所有监测活动必须留痕并建立保存期至少两年的电子追溯档案；一旦发现IHN、VHS等法定重大监测疫病呈阳性，必须在24小时内立即向属地渔业兽医主管部门或国家级参考实验室报告，并在等待复核期间，当即实施对涉事网箱及相邻水域的活鱼移动、工具共用的临时物理封锁”。这些步骤，有利于国家动物疫情上报制度在深海无监管盲区的执行</w:t>
      </w:r>
      <w:r w:rsidRPr="00AF0151">
        <w:rPr>
          <w:rFonts w:ascii="仿宋" w:eastAsia="仿宋" w:hAnsi="仿宋"/>
          <w:sz w:val="32"/>
          <w:szCs w:val="32"/>
        </w:rPr>
        <w:t>。</w:t>
      </w:r>
    </w:p>
    <w:bookmarkEnd w:id="48"/>
    <w:p w14:paraId="28E8D9B0" w14:textId="77777777" w:rsidR="00DB2B12"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（2）落实了《中华人民共和国进出境动植物检疫法》相关要求</w:t>
      </w:r>
    </w:p>
    <w:p w14:paraId="07F3F4B5"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为防止SRS等高风险外来病原随跨国种质资源交换传入国境，本标准所确立的套式PCR与TaqMan荧光定量PCR技术参数，与中国海关现行的口岸检疫通用标准在底层的核酸提取逻辑、防污染机制上保持了高度的互通性。这为未来海外大西洋</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受精卵、活体亲本进境后，在指定隔离</w:t>
      </w:r>
      <w:proofErr w:type="gramStart"/>
      <w:r w:rsidRPr="00AF0151">
        <w:rPr>
          <w:rFonts w:ascii="仿宋" w:eastAsia="仿宋" w:hAnsi="仿宋" w:hint="eastAsia"/>
          <w:sz w:val="32"/>
          <w:szCs w:val="32"/>
        </w:rPr>
        <w:t>检疫场</w:t>
      </w:r>
      <w:proofErr w:type="gramEnd"/>
      <w:r w:rsidRPr="00AF0151">
        <w:rPr>
          <w:rFonts w:ascii="仿宋" w:eastAsia="仿宋" w:hAnsi="仿宋" w:hint="eastAsia"/>
          <w:sz w:val="32"/>
          <w:szCs w:val="32"/>
        </w:rPr>
        <w:t>度过观察期直至投入公共海域的过程，提供了一套同宗同源、不产生判读歧义的技术语言与执法工具。</w:t>
      </w:r>
    </w:p>
    <w:p w14:paraId="34FF66F9" w14:textId="77777777" w:rsidR="00DB2B12"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（3）补充了现行水产行业通用标准中缺失的操作要求细节</w:t>
      </w:r>
    </w:p>
    <w:p w14:paraId="451E202B"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lastRenderedPageBreak/>
        <w:t>在取样通用规范方面，现行有效的《水生动物产地检疫采样技术规范》（SC/T</w:t>
      </w:r>
      <w:r w:rsidRPr="00AF0151">
        <w:rPr>
          <w:rFonts w:ascii="仿宋" w:eastAsia="仿宋" w:hAnsi="仿宋"/>
          <w:sz w:val="32"/>
          <w:szCs w:val="32"/>
        </w:rPr>
        <w:t xml:space="preserve"> </w:t>
      </w:r>
      <w:r w:rsidRPr="00AF0151">
        <w:rPr>
          <w:rFonts w:ascii="仿宋" w:eastAsia="仿宋" w:hAnsi="仿宋" w:hint="eastAsia"/>
          <w:sz w:val="32"/>
          <w:szCs w:val="32"/>
        </w:rPr>
        <w:t>7103—2008）属于宏观基础标准</w:t>
      </w:r>
      <w:r w:rsidRPr="00AF0151">
        <w:rPr>
          <w:rFonts w:ascii="仿宋" w:eastAsia="仿宋" w:hAnsi="仿宋"/>
          <w:sz w:val="32"/>
          <w:szCs w:val="32"/>
        </w:rPr>
        <w:t xml:space="preserve"> </w:t>
      </w:r>
      <w:r w:rsidRPr="00AF0151">
        <w:rPr>
          <w:rFonts w:ascii="仿宋" w:eastAsia="仿宋" w:hAnsi="仿宋" w:hint="eastAsia"/>
          <w:sz w:val="32"/>
          <w:szCs w:val="32"/>
        </w:rPr>
        <w:t>。本标准在其框架下，针对</w:t>
      </w:r>
      <w:proofErr w:type="gramStart"/>
      <w:r w:rsidRPr="00AF0151">
        <w:rPr>
          <w:rFonts w:ascii="仿宋" w:eastAsia="仿宋" w:hAnsi="仿宋" w:hint="eastAsia"/>
          <w:sz w:val="32"/>
          <w:szCs w:val="32"/>
        </w:rPr>
        <w:t>鲑</w:t>
      </w:r>
      <w:proofErr w:type="gramEnd"/>
      <w:r w:rsidRPr="00AF0151">
        <w:rPr>
          <w:rFonts w:ascii="仿宋" w:eastAsia="仿宋" w:hAnsi="仿宋" w:hint="eastAsia"/>
          <w:sz w:val="32"/>
          <w:szCs w:val="32"/>
        </w:rPr>
        <w:t>鳟鱼这类解剖结构特殊的冷水性海洋鱼类，做出了的特异性补充。例如，规范中明确列出了提取造血组织时必须精确寻找前肾及脾脏的位置，取样胰腺病原必须分离幽门垂；在活体麻醉方面，给出了MS-222麻醉剂100</w:t>
      </w:r>
      <w:r w:rsidRPr="00AF0151">
        <w:rPr>
          <w:rFonts w:ascii="仿宋" w:eastAsia="仿宋" w:hAnsi="仿宋"/>
          <w:sz w:val="32"/>
          <w:szCs w:val="32"/>
        </w:rPr>
        <w:t xml:space="preserve"> </w:t>
      </w:r>
      <w:r w:rsidRPr="00AF0151">
        <w:rPr>
          <w:rFonts w:ascii="仿宋" w:eastAsia="仿宋" w:hAnsi="仿宋" w:hint="eastAsia"/>
          <w:sz w:val="32"/>
          <w:szCs w:val="32"/>
        </w:rPr>
        <w:t>mg/L～150</w:t>
      </w:r>
      <w:r w:rsidRPr="00AF0151">
        <w:rPr>
          <w:rFonts w:ascii="仿宋" w:eastAsia="仿宋" w:hAnsi="仿宋"/>
          <w:sz w:val="32"/>
          <w:szCs w:val="32"/>
        </w:rPr>
        <w:t xml:space="preserve"> </w:t>
      </w:r>
      <w:r w:rsidRPr="00AF0151">
        <w:rPr>
          <w:rFonts w:ascii="仿宋" w:eastAsia="仿宋" w:hAnsi="仿宋" w:hint="eastAsia"/>
          <w:sz w:val="32"/>
          <w:szCs w:val="32"/>
        </w:rPr>
        <w:t>mg/L的精准药浴配比区间，这不仅提升了现场兽医的操作效率，</w:t>
      </w:r>
      <w:proofErr w:type="gramStart"/>
      <w:r w:rsidRPr="00AF0151">
        <w:rPr>
          <w:rFonts w:ascii="仿宋" w:eastAsia="仿宋" w:hAnsi="仿宋" w:hint="eastAsia"/>
          <w:sz w:val="32"/>
          <w:szCs w:val="32"/>
        </w:rPr>
        <w:t>更贯彻</w:t>
      </w:r>
      <w:proofErr w:type="gramEnd"/>
      <w:r w:rsidRPr="00AF0151">
        <w:rPr>
          <w:rFonts w:ascii="仿宋" w:eastAsia="仿宋" w:hAnsi="仿宋" w:hint="eastAsia"/>
          <w:sz w:val="32"/>
          <w:szCs w:val="32"/>
        </w:rPr>
        <w:t>了</w:t>
      </w:r>
      <w:bookmarkStart w:id="49" w:name="OLE_LINK1"/>
      <w:r w:rsidRPr="00AF0151">
        <w:rPr>
          <w:rFonts w:ascii="仿宋" w:eastAsia="仿宋" w:hAnsi="仿宋" w:hint="eastAsia"/>
          <w:sz w:val="32"/>
          <w:szCs w:val="32"/>
        </w:rPr>
        <w:t>国际动物福利组织</w:t>
      </w:r>
      <w:bookmarkEnd w:id="49"/>
      <w:r w:rsidRPr="00AF0151">
        <w:rPr>
          <w:rFonts w:ascii="仿宋" w:eastAsia="仿宋" w:hAnsi="仿宋" w:hint="eastAsia"/>
          <w:sz w:val="32"/>
          <w:szCs w:val="32"/>
        </w:rPr>
        <w:t>（</w:t>
      </w:r>
      <w:r w:rsidRPr="00AF0151">
        <w:rPr>
          <w:rFonts w:ascii="仿宋" w:eastAsia="仿宋" w:hAnsi="仿宋"/>
          <w:sz w:val="32"/>
          <w:szCs w:val="32"/>
        </w:rPr>
        <w:t>WOAH</w:t>
      </w:r>
      <w:r w:rsidRPr="00AF0151">
        <w:rPr>
          <w:rFonts w:ascii="仿宋" w:eastAsia="仿宋" w:hAnsi="仿宋" w:hint="eastAsia"/>
          <w:sz w:val="32"/>
          <w:szCs w:val="32"/>
        </w:rPr>
        <w:t>）倡导的“无痛人道处置”原则</w:t>
      </w:r>
      <w:r w:rsidRPr="00AF0151">
        <w:rPr>
          <w:rFonts w:ascii="仿宋" w:eastAsia="仿宋" w:hAnsi="仿宋"/>
          <w:sz w:val="32"/>
          <w:szCs w:val="32"/>
        </w:rPr>
        <w:t>。</w:t>
      </w:r>
    </w:p>
    <w:p w14:paraId="2FC4F6ED" w14:textId="77777777" w:rsidR="00610C32" w:rsidRPr="00AF0151" w:rsidRDefault="00186307" w:rsidP="00DB2B12">
      <w:pPr>
        <w:pStyle w:val="2"/>
        <w:spacing w:before="100" w:beforeAutospacing="1" w:after="100" w:afterAutospacing="1"/>
        <w:jc w:val="both"/>
        <w:rPr>
          <w:rFonts w:ascii="仿宋" w:eastAsia="仿宋" w:hAnsi="仿宋"/>
          <w:b/>
          <w:color w:val="auto"/>
        </w:rPr>
      </w:pPr>
      <w:bookmarkStart w:id="50" w:name="六-重大分歧意见的处理经过和依据"/>
      <w:bookmarkEnd w:id="47"/>
      <w:r w:rsidRPr="00AF0151">
        <w:rPr>
          <w:rFonts w:ascii="仿宋" w:eastAsia="仿宋" w:hAnsi="仿宋" w:hint="eastAsia"/>
          <w:b/>
          <w:color w:val="auto"/>
        </w:rPr>
        <w:t>七、</w:t>
      </w:r>
      <w:r w:rsidRPr="00AF0151">
        <w:rPr>
          <w:rFonts w:ascii="仿宋" w:eastAsia="仿宋" w:hAnsi="仿宋"/>
          <w:b/>
          <w:color w:val="auto"/>
        </w:rPr>
        <w:t xml:space="preserve"> </w:t>
      </w:r>
      <w:r w:rsidRPr="00AF0151">
        <w:rPr>
          <w:rFonts w:ascii="仿宋" w:eastAsia="仿宋" w:hAnsi="仿宋" w:hint="eastAsia"/>
          <w:b/>
          <w:color w:val="auto"/>
        </w:rPr>
        <w:t>重大分歧意见的处理经过和依据</w:t>
      </w:r>
    </w:p>
    <w:p w14:paraId="3241ABC1" w14:textId="77777777" w:rsidR="00610C32" w:rsidRPr="00AF0151" w:rsidRDefault="00186307" w:rsidP="00DB2B12">
      <w:pPr>
        <w:adjustRightInd w:val="0"/>
        <w:snapToGrid w:val="0"/>
        <w:spacing w:before="100" w:beforeAutospacing="1" w:after="100" w:afterAutospacing="1"/>
        <w:ind w:left="720"/>
        <w:jc w:val="both"/>
        <w:rPr>
          <w:rFonts w:ascii="仿宋" w:eastAsia="仿宋" w:hAnsi="仿宋"/>
          <w:sz w:val="32"/>
          <w:szCs w:val="32"/>
        </w:rPr>
      </w:pPr>
      <w:r w:rsidRPr="00AF0151">
        <w:rPr>
          <w:rFonts w:ascii="仿宋" w:eastAsia="仿宋" w:hAnsi="仿宋" w:hint="eastAsia"/>
          <w:sz w:val="32"/>
          <w:szCs w:val="32"/>
        </w:rPr>
        <w:t>本标准制定过程</w:t>
      </w:r>
      <w:r w:rsidRPr="00AF0151">
        <w:rPr>
          <w:rFonts w:ascii="仿宋" w:eastAsia="仿宋" w:hAnsi="仿宋"/>
          <w:sz w:val="32"/>
          <w:szCs w:val="32"/>
        </w:rPr>
        <w:t>中暂无</w:t>
      </w:r>
      <w:r w:rsidRPr="00AF0151">
        <w:rPr>
          <w:rFonts w:ascii="仿宋" w:eastAsia="仿宋" w:hAnsi="仿宋" w:hint="eastAsia"/>
          <w:sz w:val="32"/>
          <w:szCs w:val="32"/>
        </w:rPr>
        <w:t>重大分歧</w:t>
      </w:r>
      <w:r w:rsidRPr="00AF0151">
        <w:rPr>
          <w:rFonts w:ascii="仿宋" w:eastAsia="仿宋" w:hAnsi="仿宋"/>
          <w:sz w:val="32"/>
          <w:szCs w:val="32"/>
        </w:rPr>
        <w:t>意见。</w:t>
      </w:r>
    </w:p>
    <w:p w14:paraId="1C66D3CC" w14:textId="77777777" w:rsidR="00610C32" w:rsidRPr="00AF0151" w:rsidRDefault="00186307" w:rsidP="00DB2B12">
      <w:pPr>
        <w:pStyle w:val="2"/>
        <w:spacing w:before="100" w:beforeAutospacing="1" w:after="100" w:afterAutospacing="1"/>
        <w:jc w:val="both"/>
        <w:rPr>
          <w:rFonts w:ascii="仿宋" w:eastAsia="仿宋" w:hAnsi="仿宋"/>
          <w:b/>
          <w:color w:val="auto"/>
        </w:rPr>
      </w:pPr>
      <w:r w:rsidRPr="00AF0151">
        <w:rPr>
          <w:rFonts w:ascii="仿宋" w:eastAsia="仿宋" w:hAnsi="仿宋"/>
          <w:b/>
          <w:color w:val="auto"/>
        </w:rPr>
        <w:t>八、涉及专利的有关说明</w:t>
      </w:r>
    </w:p>
    <w:p w14:paraId="2FD7F3EE" w14:textId="77777777" w:rsidR="00610C32" w:rsidRPr="00AF0151" w:rsidRDefault="00186307" w:rsidP="00DB2B12">
      <w:pPr>
        <w:adjustRightInd w:val="0"/>
        <w:snapToGrid w:val="0"/>
        <w:spacing w:before="100" w:beforeAutospacing="1" w:after="100" w:afterAutospacing="1"/>
        <w:ind w:firstLineChars="200" w:firstLine="640"/>
        <w:rPr>
          <w:rFonts w:ascii="仿宋" w:eastAsia="仿宋" w:hAnsi="仿宋" w:cs="Times New Roman"/>
          <w:sz w:val="32"/>
          <w:szCs w:val="32"/>
        </w:rPr>
      </w:pPr>
      <w:r w:rsidRPr="00AF0151">
        <w:rPr>
          <w:rFonts w:ascii="仿宋" w:eastAsia="仿宋" w:hAnsi="仿宋" w:cs="Times New Roman" w:hint="eastAsia"/>
          <w:sz w:val="32"/>
          <w:szCs w:val="32"/>
        </w:rPr>
        <w:t>本标准在编制过程中，起草组已通过专利</w:t>
      </w:r>
      <w:r w:rsidRPr="00AF0151">
        <w:rPr>
          <w:rFonts w:ascii="仿宋" w:eastAsia="仿宋" w:hAnsi="仿宋" w:cs="Times New Roman"/>
          <w:sz w:val="32"/>
          <w:szCs w:val="32"/>
        </w:rPr>
        <w:t>检索方式</w:t>
      </w:r>
      <w:r w:rsidRPr="00AF0151">
        <w:rPr>
          <w:rFonts w:ascii="仿宋" w:eastAsia="仿宋" w:hAnsi="仿宋" w:cs="Times New Roman" w:hint="eastAsia"/>
          <w:sz w:val="32"/>
          <w:szCs w:val="32"/>
        </w:rPr>
        <w:t>全面征集与核查了可能涉及的相关专利。经严格审查和评估，截止到</w:t>
      </w:r>
      <w:r w:rsidRPr="00AF0151">
        <w:rPr>
          <w:rFonts w:ascii="仿宋" w:eastAsia="仿宋" w:hAnsi="仿宋" w:cs="Times New Roman"/>
          <w:sz w:val="32"/>
          <w:szCs w:val="32"/>
        </w:rPr>
        <w:t>目前</w:t>
      </w:r>
      <w:r w:rsidRPr="00AF0151">
        <w:rPr>
          <w:rFonts w:ascii="仿宋" w:eastAsia="仿宋" w:hAnsi="仿宋" w:cs="Times New Roman" w:hint="eastAsia"/>
          <w:sz w:val="32"/>
          <w:szCs w:val="32"/>
        </w:rPr>
        <w:t>，本标准所包含的技术内容未涉及任何已知的有效专利</w:t>
      </w:r>
      <w:r w:rsidRPr="00AF0151">
        <w:rPr>
          <w:rFonts w:ascii="仿宋" w:eastAsia="仿宋" w:hAnsi="仿宋" w:cs="Times New Roman"/>
          <w:sz w:val="32"/>
          <w:szCs w:val="32"/>
        </w:rPr>
        <w:t>。</w:t>
      </w:r>
    </w:p>
    <w:p w14:paraId="0AB5BB7E" w14:textId="77777777" w:rsidR="00610C32" w:rsidRPr="00AF0151" w:rsidRDefault="00186307" w:rsidP="00DB2B12">
      <w:pPr>
        <w:pStyle w:val="2"/>
        <w:spacing w:before="100" w:beforeAutospacing="1" w:after="100" w:afterAutospacing="1"/>
        <w:jc w:val="both"/>
        <w:rPr>
          <w:rFonts w:ascii="仿宋" w:eastAsia="仿宋" w:hAnsi="仿宋"/>
          <w:color w:val="auto"/>
        </w:rPr>
      </w:pPr>
      <w:bookmarkStart w:id="51" w:name="七-标准作为强制性标准或推荐性标准的建议"/>
      <w:bookmarkEnd w:id="50"/>
      <w:r w:rsidRPr="00AF0151">
        <w:rPr>
          <w:rFonts w:ascii="仿宋" w:eastAsia="仿宋" w:hAnsi="仿宋" w:hint="eastAsia"/>
          <w:b/>
          <w:color w:val="auto"/>
        </w:rPr>
        <w:t>九、</w:t>
      </w:r>
      <w:r w:rsidRPr="00AF0151">
        <w:rPr>
          <w:rFonts w:ascii="仿宋" w:eastAsia="仿宋" w:hAnsi="仿宋"/>
          <w:b/>
          <w:color w:val="auto"/>
        </w:rPr>
        <w:t xml:space="preserve"> </w:t>
      </w:r>
      <w:r w:rsidRPr="00AF0151">
        <w:rPr>
          <w:rFonts w:ascii="仿宋" w:eastAsia="仿宋" w:hAnsi="仿宋"/>
          <w:color w:val="auto"/>
        </w:rPr>
        <w:t>实施</w:t>
      </w:r>
      <w:r w:rsidRPr="00AF0151">
        <w:rPr>
          <w:rFonts w:ascii="仿宋" w:eastAsia="仿宋" w:hAnsi="仿宋" w:hint="eastAsia"/>
          <w:color w:val="auto"/>
        </w:rPr>
        <w:t>团体</w:t>
      </w:r>
      <w:r w:rsidRPr="00AF0151">
        <w:rPr>
          <w:rFonts w:ascii="仿宋" w:eastAsia="仿宋" w:hAnsi="仿宋"/>
          <w:color w:val="auto"/>
        </w:rPr>
        <w:t>标准的要求，以及组织措施、技术措施、过渡期和实施日期的建议等措施建议</w:t>
      </w:r>
      <w:bookmarkStart w:id="52" w:name="八-贯彻实施标准的措施和建议"/>
      <w:bookmarkEnd w:id="51"/>
    </w:p>
    <w:p w14:paraId="78E695EE" w14:textId="77777777" w:rsidR="00610C32" w:rsidRPr="00AF0151" w:rsidRDefault="00186307" w:rsidP="00DB2B12">
      <w:pPr>
        <w:pStyle w:val="FirstParagraph"/>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一部标准的生命力在于不打折扣地贯彻执行。为避免《海水养殖鲑鳟鱼重要疫病监测技术规范》发布后陷入“束之高阁”的尴尬境地，切实将其打造为保护</w:t>
      </w:r>
      <w:proofErr w:type="gramStart"/>
      <w:r w:rsidRPr="00AF0151">
        <w:rPr>
          <w:rFonts w:ascii="仿宋" w:eastAsia="仿宋" w:hAnsi="仿宋" w:hint="eastAsia"/>
          <w:sz w:val="32"/>
          <w:szCs w:val="32"/>
        </w:rPr>
        <w:t>深蓝产业</w:t>
      </w:r>
      <w:proofErr w:type="gramEnd"/>
      <w:r w:rsidRPr="00AF0151">
        <w:rPr>
          <w:rFonts w:ascii="仿宋" w:eastAsia="仿宋" w:hAnsi="仿宋" w:hint="eastAsia"/>
          <w:sz w:val="32"/>
          <w:szCs w:val="32"/>
        </w:rPr>
        <w:t>的有力技术，起草组提出以下立体化的实施措施与政策配套建议：</w:t>
      </w:r>
    </w:p>
    <w:p w14:paraId="4112BE67" w14:textId="77777777" w:rsidR="00DB2B12"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（1）设置合理的过渡期与宣贯培训</w:t>
      </w:r>
      <w:r w:rsidRPr="00AF0151">
        <w:rPr>
          <w:rFonts w:ascii="仿宋" w:eastAsia="仿宋" w:hAnsi="仿宋"/>
          <w:sz w:val="32"/>
          <w:szCs w:val="32"/>
        </w:rPr>
        <w:t xml:space="preserve"> </w:t>
      </w:r>
    </w:p>
    <w:p w14:paraId="071F4179"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鉴于荧光定量PCR（RT-qPCR）等分子生物学高精密检测手段以及海</w:t>
      </w:r>
      <w:proofErr w:type="gramStart"/>
      <w:r w:rsidRPr="00AF0151">
        <w:rPr>
          <w:rFonts w:ascii="仿宋" w:eastAsia="仿宋" w:hAnsi="仿宋" w:hint="eastAsia"/>
          <w:sz w:val="32"/>
          <w:szCs w:val="32"/>
        </w:rPr>
        <w:t>虱</w:t>
      </w:r>
      <w:proofErr w:type="gramEnd"/>
      <w:r w:rsidRPr="00AF0151">
        <w:rPr>
          <w:rFonts w:ascii="仿宋" w:eastAsia="仿宋" w:hAnsi="仿宋" w:hint="eastAsia"/>
          <w:sz w:val="32"/>
          <w:szCs w:val="32"/>
        </w:rPr>
        <w:t>定点</w:t>
      </w:r>
      <w:proofErr w:type="gramStart"/>
      <w:r w:rsidRPr="00AF0151">
        <w:rPr>
          <w:rFonts w:ascii="仿宋" w:eastAsia="仿宋" w:hAnsi="仿宋" w:hint="eastAsia"/>
          <w:sz w:val="32"/>
          <w:szCs w:val="32"/>
        </w:rPr>
        <w:t>定量全</w:t>
      </w:r>
      <w:proofErr w:type="gramEnd"/>
      <w:r w:rsidRPr="00AF0151">
        <w:rPr>
          <w:rFonts w:ascii="仿宋" w:eastAsia="仿宋" w:hAnsi="仿宋" w:hint="eastAsia"/>
          <w:sz w:val="32"/>
          <w:szCs w:val="32"/>
        </w:rPr>
        <w:t>量评估等工作，对基层渔业技术人员提出了极其严苛的专业素养要求。建议本标准自正式发布之日</w:t>
      </w:r>
      <w:r w:rsidRPr="00AF0151">
        <w:rPr>
          <w:rFonts w:ascii="仿宋" w:eastAsia="仿宋" w:hAnsi="仿宋" w:hint="eastAsia"/>
          <w:sz w:val="32"/>
          <w:szCs w:val="32"/>
        </w:rPr>
        <w:lastRenderedPageBreak/>
        <w:t>起至全面实施期间，设置不少于6个月的缓冲过渡期</w:t>
      </w:r>
      <w:r w:rsidRPr="00AF0151">
        <w:rPr>
          <w:rFonts w:ascii="仿宋" w:eastAsia="仿宋" w:hAnsi="仿宋"/>
          <w:sz w:val="32"/>
          <w:szCs w:val="32"/>
        </w:rPr>
        <w:t xml:space="preserve"> </w:t>
      </w:r>
      <w:r w:rsidRPr="00AF0151">
        <w:rPr>
          <w:rFonts w:ascii="仿宋" w:eastAsia="仿宋" w:hAnsi="仿宋" w:hint="eastAsia"/>
          <w:sz w:val="32"/>
          <w:szCs w:val="32"/>
        </w:rPr>
        <w:t>。在此期间，建议中国渔业协会牵头，联合全国水产技术推广总站及顶级科研院所，针对山东、辽宁、福建、广东等沿海主产省份开展高密度的“实战化”专项培训。培训的火力必须</w:t>
      </w:r>
      <w:proofErr w:type="gramStart"/>
      <w:r w:rsidRPr="00AF0151">
        <w:rPr>
          <w:rFonts w:ascii="仿宋" w:eastAsia="仿宋" w:hAnsi="仿宋" w:hint="eastAsia"/>
          <w:sz w:val="32"/>
          <w:szCs w:val="32"/>
        </w:rPr>
        <w:t>对准深远海</w:t>
      </w:r>
      <w:proofErr w:type="gramEnd"/>
      <w:r w:rsidRPr="00AF0151">
        <w:rPr>
          <w:rFonts w:ascii="仿宋" w:eastAsia="仿宋" w:hAnsi="仿宋" w:hint="eastAsia"/>
          <w:sz w:val="32"/>
          <w:szCs w:val="32"/>
        </w:rPr>
        <w:t>平台的一线驻场兽医、化验员及潜水巡视员，通过模拟舱演练，使其肌肉记忆般熟练掌握深水活体无损穿刺采样、微量病灶组织精确分割、以及最严酷海况下的防</w:t>
      </w:r>
      <w:proofErr w:type="gramStart"/>
      <w:r w:rsidRPr="00AF0151">
        <w:rPr>
          <w:rFonts w:ascii="仿宋" w:eastAsia="仿宋" w:hAnsi="仿宋" w:hint="eastAsia"/>
          <w:sz w:val="32"/>
          <w:szCs w:val="32"/>
        </w:rPr>
        <w:t>降解冰链打包</w:t>
      </w:r>
      <w:proofErr w:type="gramEnd"/>
      <w:r w:rsidRPr="00AF0151">
        <w:rPr>
          <w:rFonts w:ascii="仿宋" w:eastAsia="仿宋" w:hAnsi="仿宋" w:hint="eastAsia"/>
          <w:sz w:val="32"/>
          <w:szCs w:val="32"/>
        </w:rPr>
        <w:t>技能</w:t>
      </w:r>
      <w:r w:rsidRPr="00AF0151">
        <w:rPr>
          <w:rFonts w:ascii="仿宋" w:eastAsia="仿宋" w:hAnsi="仿宋"/>
          <w:sz w:val="32"/>
          <w:szCs w:val="32"/>
        </w:rPr>
        <w:t xml:space="preserve"> 。</w:t>
      </w:r>
    </w:p>
    <w:p w14:paraId="551F8072" w14:textId="77777777" w:rsidR="00DB2B12"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（2）构建海洋牧场“疾病雷达”实时共享网络</w:t>
      </w:r>
      <w:r w:rsidRPr="00AF0151">
        <w:rPr>
          <w:rFonts w:ascii="仿宋" w:eastAsia="仿宋" w:hAnsi="仿宋"/>
          <w:sz w:val="32"/>
          <w:szCs w:val="32"/>
        </w:rPr>
        <w:t xml:space="preserve"> </w:t>
      </w:r>
    </w:p>
    <w:p w14:paraId="348F65D0"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呼吁打破企业间的数据孤岛。建议依托本标准的落地，由行业协会搭建国内大型深远海养殖平台企业间的“疾病雷达”匿名数据共享机制。要求各关键监测节点（从淡水引育种中心到远海</w:t>
      </w:r>
      <w:proofErr w:type="gramStart"/>
      <w:r w:rsidRPr="00AF0151">
        <w:rPr>
          <w:rFonts w:ascii="仿宋" w:eastAsia="仿宋" w:hAnsi="仿宋" w:hint="eastAsia"/>
          <w:sz w:val="32"/>
          <w:szCs w:val="32"/>
        </w:rPr>
        <w:t>网箱工船</w:t>
      </w:r>
      <w:proofErr w:type="gramEnd"/>
      <w:r w:rsidRPr="00AF0151">
        <w:rPr>
          <w:rFonts w:ascii="仿宋" w:eastAsia="仿宋" w:hAnsi="仿宋" w:hint="eastAsia"/>
          <w:sz w:val="32"/>
          <w:szCs w:val="32"/>
        </w:rPr>
        <w:t>）定期将其被动及主动监测的（阳性/阴性）核酸图谱数据实时上传。一旦系统在某一特定洋流海域内捕捉到诸如VHS或IPN的微弱阳性脉冲信号，中枢即可迅速向处于同一海流下游或临近作业带的其他平台发送黄色预警，使其提前收紧生物安保口子、暂停活鱼交接作业，实现“一处预警，全网联防”</w:t>
      </w:r>
      <w:r w:rsidRPr="00AF0151">
        <w:rPr>
          <w:rFonts w:ascii="仿宋" w:eastAsia="仿宋" w:hAnsi="仿宋"/>
          <w:sz w:val="32"/>
          <w:szCs w:val="32"/>
        </w:rPr>
        <w:t xml:space="preserve"> 。</w:t>
      </w:r>
    </w:p>
    <w:p w14:paraId="7C41B294" w14:textId="77777777" w:rsidR="00DB2B12" w:rsidRPr="00AF0151" w:rsidRDefault="00186307" w:rsidP="00DB2B12">
      <w:pPr>
        <w:adjustRightInd w:val="0"/>
        <w:snapToGrid w:val="0"/>
        <w:spacing w:before="100" w:beforeAutospacing="1" w:after="100" w:afterAutospacing="1"/>
        <w:ind w:firstLineChars="200" w:firstLine="643"/>
        <w:jc w:val="both"/>
        <w:rPr>
          <w:rFonts w:ascii="仿宋" w:eastAsia="仿宋" w:hAnsi="仿宋"/>
          <w:sz w:val="32"/>
          <w:szCs w:val="32"/>
        </w:rPr>
      </w:pPr>
      <w:r w:rsidRPr="00AF0151">
        <w:rPr>
          <w:rFonts w:ascii="仿宋" w:eastAsia="仿宋" w:hAnsi="仿宋" w:hint="eastAsia"/>
          <w:b/>
          <w:bCs/>
          <w:sz w:val="32"/>
          <w:szCs w:val="32"/>
        </w:rPr>
        <w:t>（3）推动“检疫关口前置”与第三方权威CMA/CNAS认证赋能</w:t>
      </w:r>
      <w:r w:rsidRPr="00AF0151">
        <w:rPr>
          <w:rFonts w:ascii="仿宋" w:eastAsia="仿宋" w:hAnsi="仿宋"/>
          <w:sz w:val="32"/>
          <w:szCs w:val="32"/>
        </w:rPr>
        <w:t xml:space="preserve"> </w:t>
      </w:r>
    </w:p>
    <w:p w14:paraId="7F6CC5AF" w14:textId="77777777" w:rsidR="00610C32" w:rsidRPr="00AF0151" w:rsidRDefault="00186307" w:rsidP="00DB2B12">
      <w:pPr>
        <w:adjustRightInd w:val="0"/>
        <w:snapToGrid w:val="0"/>
        <w:spacing w:before="100" w:beforeAutospacing="1" w:after="100" w:afterAutospacing="1"/>
        <w:ind w:firstLineChars="200" w:firstLine="640"/>
        <w:jc w:val="both"/>
        <w:rPr>
          <w:rFonts w:ascii="仿宋" w:eastAsia="仿宋" w:hAnsi="仿宋"/>
          <w:sz w:val="32"/>
          <w:szCs w:val="32"/>
        </w:rPr>
      </w:pPr>
      <w:r w:rsidRPr="00AF0151">
        <w:rPr>
          <w:rFonts w:ascii="仿宋" w:eastAsia="仿宋" w:hAnsi="仿宋" w:hint="eastAsia"/>
          <w:sz w:val="32"/>
          <w:szCs w:val="32"/>
        </w:rPr>
        <w:t>深远海平台远离陆地，检测的时效性就是生命线。鼓励具备经济实力的大型十万吨级</w:t>
      </w:r>
      <w:proofErr w:type="gramStart"/>
      <w:r w:rsidRPr="00AF0151">
        <w:rPr>
          <w:rFonts w:ascii="仿宋" w:eastAsia="仿宋" w:hAnsi="仿宋" w:hint="eastAsia"/>
          <w:sz w:val="32"/>
          <w:szCs w:val="32"/>
        </w:rPr>
        <w:t>养殖工船或</w:t>
      </w:r>
      <w:proofErr w:type="gramEnd"/>
      <w:r w:rsidRPr="00AF0151">
        <w:rPr>
          <w:rFonts w:ascii="仿宋" w:eastAsia="仿宋" w:hAnsi="仿宋" w:hint="eastAsia"/>
          <w:sz w:val="32"/>
          <w:szCs w:val="32"/>
        </w:rPr>
        <w:t>超级网箱母船，直接配置符合P2（生物安全二级）标准的标准化车载/船载移动方舱PCR实验室，真正实现“样本不出海，报告即刻出”。同时，强烈建议国家地方两级渔业行政主管部门，在企业申请开具“水产苗种产地检疫合格证明”、申报“国家级无规定疫病水产苗种场”评定、以及办理海关出口报关通关手续时，将基于本标准流程、由具备CMA/CNAS资质的第三方检测机构出具的周期性监测报告，作为核心前置参考与互认依据</w:t>
      </w:r>
      <w:r w:rsidRPr="00AF0151">
        <w:rPr>
          <w:rFonts w:ascii="仿宋" w:eastAsia="仿宋" w:hAnsi="仿宋"/>
          <w:sz w:val="32"/>
          <w:szCs w:val="32"/>
        </w:rPr>
        <w:t>。</w:t>
      </w:r>
    </w:p>
    <w:p w14:paraId="0AE8B666" w14:textId="77777777" w:rsidR="00610C32" w:rsidRPr="00AF0151" w:rsidRDefault="00186307" w:rsidP="00DB2B12">
      <w:pPr>
        <w:pStyle w:val="2"/>
        <w:spacing w:before="100" w:beforeAutospacing="1" w:after="100" w:afterAutospacing="1"/>
        <w:jc w:val="both"/>
        <w:rPr>
          <w:rFonts w:ascii="仿宋" w:eastAsia="仿宋" w:hAnsi="仿宋"/>
          <w:b/>
          <w:color w:val="auto"/>
        </w:rPr>
      </w:pPr>
      <w:bookmarkStart w:id="53" w:name="十-其它应予说明的事项"/>
      <w:bookmarkEnd w:id="52"/>
      <w:r w:rsidRPr="00AF0151">
        <w:rPr>
          <w:rFonts w:ascii="仿宋" w:eastAsia="仿宋" w:hAnsi="仿宋" w:hint="eastAsia"/>
          <w:b/>
          <w:color w:val="auto"/>
        </w:rPr>
        <w:lastRenderedPageBreak/>
        <w:t>十、</w:t>
      </w:r>
      <w:r w:rsidRPr="00AF0151">
        <w:rPr>
          <w:rFonts w:ascii="仿宋" w:eastAsia="仿宋" w:hAnsi="仿宋"/>
          <w:b/>
          <w:color w:val="auto"/>
        </w:rPr>
        <w:t xml:space="preserve"> </w:t>
      </w:r>
      <w:r w:rsidRPr="00AF0151">
        <w:rPr>
          <w:rFonts w:ascii="仿宋" w:eastAsia="仿宋" w:hAnsi="仿宋" w:hint="eastAsia"/>
          <w:b/>
          <w:color w:val="auto"/>
        </w:rPr>
        <w:t>其它应予说明的事项</w:t>
      </w:r>
    </w:p>
    <w:bookmarkEnd w:id="0"/>
    <w:bookmarkEnd w:id="53"/>
    <w:p w14:paraId="1CAA2938" w14:textId="77777777" w:rsidR="00610C32" w:rsidRPr="00AF0151" w:rsidRDefault="00186307" w:rsidP="00DB2B12">
      <w:pPr>
        <w:adjustRightInd w:val="0"/>
        <w:snapToGrid w:val="0"/>
        <w:spacing w:before="100" w:beforeAutospacing="1" w:after="100" w:afterAutospacing="1"/>
        <w:ind w:firstLineChars="200" w:firstLine="640"/>
        <w:rPr>
          <w:rFonts w:ascii="仿宋" w:eastAsia="仿宋" w:hAnsi="仿宋" w:cs="Times New Roman"/>
          <w:sz w:val="32"/>
          <w:szCs w:val="32"/>
        </w:rPr>
      </w:pPr>
      <w:r w:rsidRPr="00AF0151">
        <w:rPr>
          <w:rFonts w:ascii="仿宋" w:eastAsia="仿宋" w:hAnsi="仿宋" w:cs="Times New Roman" w:hint="eastAsia"/>
          <w:sz w:val="32"/>
          <w:szCs w:val="32"/>
        </w:rPr>
        <w:t>本标准在制定</w:t>
      </w:r>
      <w:r w:rsidRPr="00AF0151">
        <w:rPr>
          <w:rFonts w:ascii="仿宋" w:eastAsia="仿宋" w:hAnsi="仿宋" w:cs="Times New Roman"/>
          <w:sz w:val="32"/>
          <w:szCs w:val="32"/>
        </w:rPr>
        <w:t>过程中暂无</w:t>
      </w:r>
      <w:r w:rsidRPr="00AF0151">
        <w:rPr>
          <w:rFonts w:ascii="仿宋" w:eastAsia="仿宋" w:hAnsi="仿宋" w:cs="Times New Roman" w:hint="eastAsia"/>
          <w:sz w:val="32"/>
          <w:szCs w:val="32"/>
        </w:rPr>
        <w:t>其他</w:t>
      </w:r>
      <w:r w:rsidRPr="00AF0151">
        <w:rPr>
          <w:rFonts w:ascii="仿宋" w:eastAsia="仿宋" w:hAnsi="仿宋" w:cs="Times New Roman"/>
          <w:sz w:val="32"/>
          <w:szCs w:val="32"/>
        </w:rPr>
        <w:t>应当说明的事项。</w:t>
      </w:r>
    </w:p>
    <w:p w14:paraId="46FC0BBB" w14:textId="77777777" w:rsidR="00610C32" w:rsidRPr="00AF0151" w:rsidRDefault="00610C32" w:rsidP="00DB2B12">
      <w:pPr>
        <w:adjustRightInd w:val="0"/>
        <w:snapToGrid w:val="0"/>
        <w:spacing w:before="100" w:beforeAutospacing="1" w:after="100" w:afterAutospacing="1"/>
        <w:ind w:left="720"/>
        <w:jc w:val="both"/>
        <w:rPr>
          <w:rFonts w:ascii="仿宋" w:eastAsia="仿宋" w:hAnsi="仿宋"/>
          <w:sz w:val="32"/>
          <w:szCs w:val="32"/>
        </w:rPr>
      </w:pPr>
    </w:p>
    <w:p w14:paraId="4E5ADC39" w14:textId="77777777" w:rsidR="00610C32" w:rsidRPr="00AF0151" w:rsidRDefault="00610C32" w:rsidP="00DB2B12">
      <w:pPr>
        <w:adjustRightInd w:val="0"/>
        <w:snapToGrid w:val="0"/>
        <w:spacing w:before="100" w:beforeAutospacing="1" w:after="100" w:afterAutospacing="1"/>
        <w:ind w:left="720"/>
        <w:jc w:val="both"/>
        <w:rPr>
          <w:rFonts w:ascii="仿宋" w:eastAsia="仿宋" w:hAnsi="仿宋"/>
          <w:sz w:val="32"/>
          <w:szCs w:val="32"/>
        </w:rPr>
      </w:pPr>
    </w:p>
    <w:p w14:paraId="0EBF6800" w14:textId="77777777" w:rsidR="00610C32" w:rsidRPr="00AF0151" w:rsidRDefault="00610C32" w:rsidP="00DB2B12">
      <w:pPr>
        <w:adjustRightInd w:val="0"/>
        <w:snapToGrid w:val="0"/>
        <w:spacing w:before="100" w:beforeAutospacing="1" w:after="100" w:afterAutospacing="1"/>
        <w:ind w:left="720"/>
        <w:jc w:val="both"/>
        <w:rPr>
          <w:rFonts w:ascii="仿宋" w:eastAsia="仿宋" w:hAnsi="仿宋"/>
          <w:sz w:val="32"/>
          <w:szCs w:val="32"/>
        </w:rPr>
      </w:pPr>
    </w:p>
    <w:p w14:paraId="6005940D" w14:textId="77777777" w:rsidR="00610C32" w:rsidRPr="00AF0151" w:rsidRDefault="00610C32" w:rsidP="00DB2B12">
      <w:pPr>
        <w:adjustRightInd w:val="0"/>
        <w:snapToGrid w:val="0"/>
        <w:spacing w:before="100" w:beforeAutospacing="1" w:after="100" w:afterAutospacing="1"/>
        <w:ind w:left="720"/>
        <w:jc w:val="both"/>
        <w:rPr>
          <w:rFonts w:ascii="仿宋" w:eastAsia="仿宋" w:hAnsi="仿宋"/>
          <w:sz w:val="32"/>
          <w:szCs w:val="32"/>
        </w:rPr>
      </w:pPr>
    </w:p>
    <w:p w14:paraId="510D9E93" w14:textId="77777777" w:rsidR="00610C32" w:rsidRPr="00AF0151" w:rsidRDefault="00186307" w:rsidP="00AF0151">
      <w:pPr>
        <w:adjustRightInd w:val="0"/>
        <w:snapToGrid w:val="0"/>
        <w:spacing w:before="100" w:beforeAutospacing="1" w:after="100" w:afterAutospacing="1"/>
        <w:ind w:left="720"/>
        <w:jc w:val="both"/>
        <w:rPr>
          <w:rFonts w:ascii="仿宋" w:eastAsia="仿宋" w:hAnsi="仿宋"/>
          <w:sz w:val="32"/>
          <w:szCs w:val="32"/>
        </w:rPr>
      </w:pPr>
      <w:r w:rsidRPr="00AF0151">
        <w:rPr>
          <w:rFonts w:ascii="仿宋" w:eastAsia="仿宋" w:hAnsi="仿宋" w:hint="eastAsia"/>
          <w:sz w:val="32"/>
          <w:szCs w:val="32"/>
        </w:rPr>
        <w:t>团体标准《海水养殖鲑鳟鱼重要疫病监测技术规范》编制组</w:t>
      </w:r>
    </w:p>
    <w:p w14:paraId="12893DCE" w14:textId="77777777" w:rsidR="00610C32" w:rsidRPr="00AF0151" w:rsidRDefault="00186307" w:rsidP="00DB2B12">
      <w:pPr>
        <w:adjustRightInd w:val="0"/>
        <w:snapToGrid w:val="0"/>
        <w:spacing w:before="100" w:beforeAutospacing="1" w:after="100" w:afterAutospacing="1"/>
        <w:ind w:left="720" w:firstLineChars="1800" w:firstLine="5760"/>
        <w:jc w:val="right"/>
        <w:rPr>
          <w:rFonts w:ascii="仿宋" w:eastAsia="仿宋" w:hAnsi="仿宋"/>
          <w:sz w:val="32"/>
          <w:szCs w:val="32"/>
        </w:rPr>
      </w:pPr>
      <w:r w:rsidRPr="00AF0151">
        <w:rPr>
          <w:rFonts w:ascii="仿宋" w:eastAsia="仿宋" w:hAnsi="仿宋" w:hint="eastAsia"/>
          <w:sz w:val="32"/>
          <w:szCs w:val="32"/>
        </w:rPr>
        <w:t>2</w:t>
      </w:r>
      <w:r w:rsidRPr="00AF0151">
        <w:rPr>
          <w:rFonts w:ascii="仿宋" w:eastAsia="仿宋" w:hAnsi="仿宋"/>
          <w:sz w:val="32"/>
          <w:szCs w:val="32"/>
        </w:rPr>
        <w:t>026</w:t>
      </w:r>
      <w:r w:rsidRPr="00AF0151">
        <w:rPr>
          <w:rFonts w:ascii="仿宋" w:eastAsia="仿宋" w:hAnsi="仿宋" w:hint="eastAsia"/>
          <w:sz w:val="32"/>
          <w:szCs w:val="32"/>
        </w:rPr>
        <w:t>年4月</w:t>
      </w:r>
    </w:p>
    <w:sectPr w:rsidR="00610C32" w:rsidRPr="00AF0151">
      <w:footerReference w:type="default" r:id="rId9"/>
      <w:footnotePr>
        <w:numRestart w:val="eachSect"/>
      </w:footnotePr>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66111B" w14:textId="77777777" w:rsidR="00FE7B1F" w:rsidRDefault="00FE7B1F">
      <w:pPr>
        <w:spacing w:after="0"/>
      </w:pPr>
      <w:r>
        <w:separator/>
      </w:r>
    </w:p>
  </w:endnote>
  <w:endnote w:type="continuationSeparator" w:id="0">
    <w:p w14:paraId="3027403B" w14:textId="77777777" w:rsidR="00FE7B1F" w:rsidRDefault="00FE7B1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华文宋体">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81D166" w14:textId="77777777" w:rsidR="00186307" w:rsidRDefault="00186307">
    <w:pPr>
      <w:pStyle w:val="af3"/>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7F414E">
      <w:rPr>
        <w:b/>
        <w:bCs/>
        <w:noProof/>
      </w:rPr>
      <w:t>14</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7F414E">
      <w:rPr>
        <w:b/>
        <w:bCs/>
        <w:noProof/>
      </w:rPr>
      <w:t>20</w:t>
    </w:r>
    <w:r>
      <w:rPr>
        <w:b/>
        <w:bCs/>
        <w:sz w:val="24"/>
        <w:szCs w:val="24"/>
      </w:rPr>
      <w:fldChar w:fldCharType="end"/>
    </w:r>
  </w:p>
  <w:p w14:paraId="4C4B137D" w14:textId="77777777" w:rsidR="00186307" w:rsidRDefault="00186307">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E8CF02" w14:textId="77777777" w:rsidR="00FE7B1F" w:rsidRDefault="00FE7B1F">
      <w:pPr>
        <w:spacing w:after="0"/>
      </w:pPr>
      <w:r>
        <w:separator/>
      </w:r>
    </w:p>
  </w:footnote>
  <w:footnote w:type="continuationSeparator" w:id="0">
    <w:p w14:paraId="069BD5DC" w14:textId="77777777" w:rsidR="00FE7B1F" w:rsidRDefault="00FE7B1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8BFCC97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00000002"/>
    <w:multiLevelType w:val="multilevel"/>
    <w:tmpl w:val="D7C068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2" w15:restartNumberingAfterBreak="0">
    <w:nsid w:val="00000003"/>
    <w:multiLevelType w:val="hybridMultilevel"/>
    <w:tmpl w:val="3DFC7E9E"/>
    <w:lvl w:ilvl="0" w:tplc="C1F6753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0000004"/>
    <w:multiLevelType w:val="hybridMultilevel"/>
    <w:tmpl w:val="5330B624"/>
    <w:lvl w:ilvl="0" w:tplc="84F6684A">
      <w:start w:val="1"/>
      <w:numFmt w:val="decimal"/>
      <w:lvlText w:val="1.3.%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0000005"/>
    <w:multiLevelType w:val="hybridMultilevel"/>
    <w:tmpl w:val="4790F590"/>
    <w:lvl w:ilvl="0" w:tplc="C1F67534">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0000006"/>
    <w:multiLevelType w:val="hybridMultilevel"/>
    <w:tmpl w:val="7326E00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C2B0EBC"/>
    <w:multiLevelType w:val="multilevel"/>
    <w:tmpl w:val="AA9A5CA4"/>
    <w:lvl w:ilvl="0">
      <w:start w:val="1"/>
      <w:numFmt w:val="bullet"/>
      <w:lvlText w:val=" "/>
      <w:lvlJc w:val="left"/>
      <w:pPr>
        <w:ind w:left="720" w:hanging="360"/>
      </w:pPr>
    </w:lvl>
    <w:lvl w:ilvl="1">
      <w:start w:val="1"/>
      <w:numFmt w:val="bullet"/>
      <w:lvlText w:val=" "/>
      <w:lvlJc w:val="left"/>
      <w:pPr>
        <w:ind w:left="1440" w:hanging="360"/>
      </w:pPr>
    </w:lvl>
    <w:lvl w:ilvl="2">
      <w:start w:val="1"/>
      <w:numFmt w:val="bullet"/>
      <w:lvlText w:val=" "/>
      <w:lvlJc w:val="left"/>
      <w:pPr>
        <w:ind w:left="2160" w:hanging="360"/>
      </w:pPr>
    </w:lvl>
    <w:lvl w:ilvl="3">
      <w:start w:val="1"/>
      <w:numFmt w:val="bullet"/>
      <w:lvlText w:val=" "/>
      <w:lvlJc w:val="left"/>
      <w:pPr>
        <w:ind w:left="2880" w:hanging="360"/>
      </w:pPr>
    </w:lvl>
    <w:lvl w:ilvl="4">
      <w:start w:val="1"/>
      <w:numFmt w:val="bullet"/>
      <w:lvlText w:val=" "/>
      <w:lvlJc w:val="left"/>
      <w:pPr>
        <w:ind w:left="3600" w:hanging="360"/>
      </w:pPr>
    </w:lvl>
    <w:lvl w:ilvl="5">
      <w:start w:val="1"/>
      <w:numFmt w:val="bullet"/>
      <w:lvlText w:val=" "/>
      <w:lvlJc w:val="left"/>
      <w:pPr>
        <w:ind w:left="4320" w:hanging="360"/>
      </w:pPr>
    </w:lvl>
    <w:lvl w:ilvl="6">
      <w:start w:val="1"/>
      <w:numFmt w:val="bullet"/>
      <w:lvlText w:val=" "/>
      <w:lvlJc w:val="left"/>
      <w:pPr>
        <w:ind w:left="5040" w:hanging="360"/>
      </w:pPr>
    </w:lvl>
    <w:lvl w:ilvl="7">
      <w:start w:val="1"/>
      <w:numFmt w:val="bullet"/>
      <w:lvlText w:val=" "/>
      <w:lvlJc w:val="left"/>
      <w:pPr>
        <w:ind w:left="5760" w:hanging="360"/>
      </w:pPr>
    </w:lvl>
    <w:lvl w:ilvl="8">
      <w:start w:val="1"/>
      <w:numFmt w:val="bullet"/>
      <w:lvlText w:val=" "/>
      <w:lvlJc w:val="left"/>
      <w:pPr>
        <w:ind w:left="6480" w:hanging="360"/>
      </w:pPr>
    </w:lvl>
  </w:abstractNum>
  <w:abstractNum w:abstractNumId="7" w15:restartNumberingAfterBreak="0">
    <w:nsid w:val="646260FA"/>
    <w:multiLevelType w:val="multilevel"/>
    <w:tmpl w:val="FEB86D16"/>
    <w:lvl w:ilvl="0">
      <w:start w:val="1"/>
      <w:numFmt w:val="decimal"/>
      <w:lvlRestart w:val="0"/>
      <w:pStyle w:val="a"/>
      <w:suff w:val="nothing"/>
      <w:lvlText w:val="表%1　"/>
      <w:lvlJc w:val="left"/>
      <w:pPr>
        <w:ind w:left="0" w:firstLine="0"/>
      </w:pPr>
      <w:rPr>
        <w:rFonts w:hint="eastAsia"/>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7"/>
        </w:tabs>
        <w:ind w:left="1417"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16cid:durableId="1215041283">
    <w:abstractNumId w:val="6"/>
  </w:num>
  <w:num w:numId="2" w16cid:durableId="1793091087">
    <w:abstractNumId w:val="0"/>
  </w:num>
  <w:num w:numId="3" w16cid:durableId="604077910">
    <w:abstractNumId w:val="0"/>
  </w:num>
  <w:num w:numId="4" w16cid:durableId="1911302181">
    <w:abstractNumId w:val="0"/>
  </w:num>
  <w:num w:numId="5" w16cid:durableId="2132743730">
    <w:abstractNumId w:val="0"/>
  </w:num>
  <w:num w:numId="6" w16cid:durableId="1952128866">
    <w:abstractNumId w:val="0"/>
  </w:num>
  <w:num w:numId="7" w16cid:durableId="849176363">
    <w:abstractNumId w:val="0"/>
  </w:num>
  <w:num w:numId="8" w16cid:durableId="4709037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43457744">
    <w:abstractNumId w:val="0"/>
  </w:num>
  <w:num w:numId="10" w16cid:durableId="178480929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370187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203926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59459753">
    <w:abstractNumId w:val="4"/>
  </w:num>
  <w:num w:numId="14" w16cid:durableId="755127641">
    <w:abstractNumId w:val="5"/>
  </w:num>
  <w:num w:numId="15" w16cid:durableId="34281978">
    <w:abstractNumId w:val="2"/>
  </w:num>
  <w:num w:numId="16" w16cid:durableId="1038360207">
    <w:abstractNumId w:val="3"/>
  </w:num>
  <w:num w:numId="17" w16cid:durableId="1888371077">
    <w:abstractNumId w:val="7"/>
  </w:num>
  <w:num w:numId="18" w16cid:durableId="112119197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SystemFonts/>
  <w:bordersDoNotSurroundHeader/>
  <w:bordersDoNotSurroundFooter/>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0C32"/>
    <w:rsid w:val="00186307"/>
    <w:rsid w:val="00225E39"/>
    <w:rsid w:val="00284314"/>
    <w:rsid w:val="0033345F"/>
    <w:rsid w:val="00507614"/>
    <w:rsid w:val="00555894"/>
    <w:rsid w:val="005A1BD2"/>
    <w:rsid w:val="005C57A8"/>
    <w:rsid w:val="005F7B7E"/>
    <w:rsid w:val="00610C32"/>
    <w:rsid w:val="0064760A"/>
    <w:rsid w:val="00676EFC"/>
    <w:rsid w:val="006B6E69"/>
    <w:rsid w:val="007F414E"/>
    <w:rsid w:val="00876A68"/>
    <w:rsid w:val="008E4B54"/>
    <w:rsid w:val="00983027"/>
    <w:rsid w:val="00A2207A"/>
    <w:rsid w:val="00AC4954"/>
    <w:rsid w:val="00AF0151"/>
    <w:rsid w:val="00CE2E84"/>
    <w:rsid w:val="00CF2AFC"/>
    <w:rsid w:val="00DB2B12"/>
    <w:rsid w:val="00ED6145"/>
    <w:rsid w:val="00EF7444"/>
    <w:rsid w:val="00F14D3D"/>
    <w:rsid w:val="00F40B32"/>
    <w:rsid w:val="00FE7B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4CAD3D"/>
  <w15:docId w15:val="{F482AA5C-F327-43F4-8E8D-7493F649BC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ptos" w:eastAsia="等线" w:hAnsi="Aptos" w:cs="宋体"/>
        <w:sz w:val="24"/>
        <w:szCs w:val="24"/>
        <w:lang w:val="en-US" w:eastAsia="zh-CN"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style>
  <w:style w:type="paragraph" w:styleId="1">
    <w:name w:val="heading 1"/>
    <w:basedOn w:val="a0"/>
    <w:next w:val="a1"/>
    <w:link w:val="10"/>
    <w:uiPriority w:val="9"/>
    <w:qFormat/>
    <w:pPr>
      <w:keepNext/>
      <w:keepLines/>
      <w:spacing w:before="360" w:after="80"/>
      <w:outlineLvl w:val="0"/>
    </w:pPr>
    <w:rPr>
      <w:rFonts w:ascii="Aptos Display" w:eastAsia="等线 Light" w:hAnsi="Aptos Display"/>
      <w:color w:val="0F4761"/>
      <w:sz w:val="40"/>
      <w:szCs w:val="40"/>
    </w:rPr>
  </w:style>
  <w:style w:type="paragraph" w:styleId="2">
    <w:name w:val="heading 2"/>
    <w:basedOn w:val="a0"/>
    <w:next w:val="a1"/>
    <w:link w:val="20"/>
    <w:uiPriority w:val="9"/>
    <w:qFormat/>
    <w:pPr>
      <w:keepNext/>
      <w:keepLines/>
      <w:spacing w:before="160" w:after="80"/>
      <w:outlineLvl w:val="1"/>
    </w:pPr>
    <w:rPr>
      <w:rFonts w:ascii="Aptos Display" w:eastAsia="等线 Light" w:hAnsi="Aptos Display"/>
      <w:color w:val="0F4761"/>
      <w:sz w:val="32"/>
      <w:szCs w:val="32"/>
    </w:rPr>
  </w:style>
  <w:style w:type="paragraph" w:styleId="3">
    <w:name w:val="heading 3"/>
    <w:basedOn w:val="a0"/>
    <w:next w:val="a1"/>
    <w:link w:val="30"/>
    <w:uiPriority w:val="9"/>
    <w:qFormat/>
    <w:pPr>
      <w:keepNext/>
      <w:keepLines/>
      <w:spacing w:before="160" w:after="80"/>
      <w:outlineLvl w:val="2"/>
    </w:pPr>
    <w:rPr>
      <w:rFonts w:eastAsia="等线 Light"/>
      <w:color w:val="0F4761"/>
      <w:sz w:val="28"/>
      <w:szCs w:val="28"/>
    </w:rPr>
  </w:style>
  <w:style w:type="paragraph" w:styleId="4">
    <w:name w:val="heading 4"/>
    <w:basedOn w:val="a0"/>
    <w:next w:val="a1"/>
    <w:link w:val="40"/>
    <w:uiPriority w:val="9"/>
    <w:qFormat/>
    <w:pPr>
      <w:keepNext/>
      <w:keepLines/>
      <w:spacing w:before="80" w:after="40"/>
      <w:outlineLvl w:val="3"/>
    </w:pPr>
    <w:rPr>
      <w:rFonts w:eastAsia="等线 Light"/>
      <w:i/>
      <w:iCs/>
      <w:color w:val="0F4761"/>
    </w:rPr>
  </w:style>
  <w:style w:type="paragraph" w:styleId="5">
    <w:name w:val="heading 5"/>
    <w:basedOn w:val="a0"/>
    <w:next w:val="a1"/>
    <w:link w:val="50"/>
    <w:uiPriority w:val="9"/>
    <w:qFormat/>
    <w:pPr>
      <w:keepNext/>
      <w:keepLines/>
      <w:spacing w:before="80" w:after="40"/>
      <w:outlineLvl w:val="4"/>
    </w:pPr>
    <w:rPr>
      <w:rFonts w:eastAsia="等线 Light"/>
      <w:color w:val="0F4761"/>
    </w:rPr>
  </w:style>
  <w:style w:type="paragraph" w:styleId="6">
    <w:name w:val="heading 6"/>
    <w:basedOn w:val="a0"/>
    <w:next w:val="a1"/>
    <w:link w:val="60"/>
    <w:uiPriority w:val="9"/>
    <w:qFormat/>
    <w:pPr>
      <w:keepNext/>
      <w:keepLines/>
      <w:spacing w:before="40" w:after="0"/>
      <w:outlineLvl w:val="5"/>
    </w:pPr>
    <w:rPr>
      <w:rFonts w:eastAsia="等线 Light"/>
      <w:i/>
      <w:iCs/>
      <w:color w:val="595959"/>
    </w:rPr>
  </w:style>
  <w:style w:type="paragraph" w:styleId="7">
    <w:name w:val="heading 7"/>
    <w:basedOn w:val="a0"/>
    <w:next w:val="a1"/>
    <w:link w:val="70"/>
    <w:uiPriority w:val="9"/>
    <w:qFormat/>
    <w:pPr>
      <w:keepNext/>
      <w:keepLines/>
      <w:spacing w:before="40" w:after="0"/>
      <w:outlineLvl w:val="6"/>
    </w:pPr>
    <w:rPr>
      <w:rFonts w:eastAsia="等线 Light"/>
      <w:color w:val="595959"/>
    </w:rPr>
  </w:style>
  <w:style w:type="paragraph" w:styleId="8">
    <w:name w:val="heading 8"/>
    <w:basedOn w:val="a0"/>
    <w:next w:val="a1"/>
    <w:link w:val="80"/>
    <w:uiPriority w:val="9"/>
    <w:qFormat/>
    <w:pPr>
      <w:keepNext/>
      <w:keepLines/>
      <w:spacing w:after="0"/>
      <w:outlineLvl w:val="7"/>
    </w:pPr>
    <w:rPr>
      <w:rFonts w:eastAsia="等线 Light"/>
      <w:i/>
      <w:iCs/>
      <w:color w:val="272727"/>
    </w:rPr>
  </w:style>
  <w:style w:type="paragraph" w:styleId="9">
    <w:name w:val="heading 9"/>
    <w:basedOn w:val="a0"/>
    <w:next w:val="a1"/>
    <w:link w:val="90"/>
    <w:uiPriority w:val="9"/>
    <w:qFormat/>
    <w:pPr>
      <w:keepNext/>
      <w:keepLines/>
      <w:spacing w:after="0"/>
      <w:outlineLvl w:val="8"/>
    </w:pPr>
    <w:rPr>
      <w:rFonts w:eastAsia="等线 Light"/>
      <w:color w:val="272727"/>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qFormat/>
    <w:pPr>
      <w:spacing w:before="180" w:after="180"/>
    </w:pPr>
  </w:style>
  <w:style w:type="paragraph" w:customStyle="1" w:styleId="FirstParagraph">
    <w:name w:val="First Paragraph"/>
    <w:basedOn w:val="a1"/>
    <w:next w:val="a1"/>
    <w:qFormat/>
  </w:style>
  <w:style w:type="paragraph" w:customStyle="1" w:styleId="Compact">
    <w:name w:val="Compact"/>
    <w:basedOn w:val="a1"/>
    <w:qFormat/>
    <w:pPr>
      <w:spacing w:before="36" w:after="36"/>
    </w:pPr>
  </w:style>
  <w:style w:type="paragraph" w:styleId="a5">
    <w:name w:val="Title"/>
    <w:basedOn w:val="a0"/>
    <w:next w:val="a1"/>
    <w:link w:val="a6"/>
    <w:uiPriority w:val="10"/>
    <w:qFormat/>
    <w:pPr>
      <w:spacing w:after="80"/>
      <w:contextualSpacing/>
      <w:jc w:val="center"/>
    </w:pPr>
    <w:rPr>
      <w:rFonts w:ascii="Aptos Display" w:eastAsia="等线 Light" w:hAnsi="Aptos Display"/>
      <w:sz w:val="56"/>
      <w:szCs w:val="56"/>
    </w:rPr>
  </w:style>
  <w:style w:type="character" w:customStyle="1" w:styleId="a6">
    <w:name w:val="标题 字符"/>
    <w:basedOn w:val="a2"/>
    <w:link w:val="a5"/>
    <w:uiPriority w:val="10"/>
    <w:rPr>
      <w:rFonts w:ascii="Aptos Display" w:eastAsia="等线 Light" w:hAnsi="Aptos Display" w:cs="宋体"/>
      <w:sz w:val="56"/>
      <w:szCs w:val="56"/>
    </w:rPr>
  </w:style>
  <w:style w:type="paragraph" w:styleId="a7">
    <w:name w:val="Subtitle"/>
    <w:basedOn w:val="a5"/>
    <w:next w:val="a1"/>
    <w:link w:val="a8"/>
    <w:uiPriority w:val="11"/>
    <w:qFormat/>
    <w:pPr>
      <w:numPr>
        <w:ilvl w:val="1"/>
      </w:numPr>
    </w:pPr>
    <w:rPr>
      <w:spacing w:val="15"/>
      <w:sz w:val="28"/>
      <w:szCs w:val="28"/>
    </w:rPr>
  </w:style>
  <w:style w:type="character" w:customStyle="1" w:styleId="a8">
    <w:name w:val="副标题 字符"/>
    <w:basedOn w:val="a2"/>
    <w:link w:val="a7"/>
    <w:uiPriority w:val="11"/>
    <w:rPr>
      <w:rFonts w:eastAsia="等线 Light" w:cs="宋体"/>
      <w:color w:val="595959"/>
      <w:spacing w:val="15"/>
      <w:sz w:val="28"/>
      <w:szCs w:val="28"/>
    </w:rPr>
  </w:style>
  <w:style w:type="paragraph" w:customStyle="1" w:styleId="Author">
    <w:name w:val="Author"/>
    <w:basedOn w:val="a5"/>
    <w:next w:val="a1"/>
    <w:qFormat/>
    <w:pPr>
      <w:keepNext/>
      <w:keepLines/>
    </w:pPr>
    <w:rPr>
      <w:sz w:val="24"/>
      <w:szCs w:val="24"/>
    </w:rPr>
  </w:style>
  <w:style w:type="paragraph" w:styleId="a9">
    <w:name w:val="Date"/>
    <w:basedOn w:val="a5"/>
    <w:next w:val="a1"/>
    <w:qFormat/>
    <w:pPr>
      <w:keepNext/>
      <w:keepLines/>
    </w:pPr>
    <w:rPr>
      <w:sz w:val="24"/>
      <w:szCs w:val="24"/>
    </w:rPr>
  </w:style>
  <w:style w:type="paragraph" w:customStyle="1" w:styleId="AbstractTitle">
    <w:name w:val="Abstract Title"/>
    <w:basedOn w:val="a0"/>
    <w:next w:val="Abstract"/>
    <w:qFormat/>
    <w:pPr>
      <w:keepNext/>
      <w:keepLines/>
      <w:spacing w:before="300" w:after="0"/>
      <w:jc w:val="center"/>
    </w:pPr>
    <w:rPr>
      <w:b/>
      <w:sz w:val="20"/>
      <w:szCs w:val="20"/>
    </w:rPr>
  </w:style>
  <w:style w:type="paragraph" w:customStyle="1" w:styleId="Abstract">
    <w:name w:val="Abstract"/>
    <w:basedOn w:val="a0"/>
    <w:next w:val="a1"/>
    <w:qFormat/>
    <w:pPr>
      <w:keepNext/>
      <w:keepLines/>
      <w:spacing w:before="100" w:after="300"/>
    </w:pPr>
    <w:rPr>
      <w:sz w:val="20"/>
      <w:szCs w:val="20"/>
    </w:rPr>
  </w:style>
  <w:style w:type="paragraph" w:styleId="aa">
    <w:name w:val="Bibliography"/>
    <w:basedOn w:val="a0"/>
    <w:qFormat/>
  </w:style>
  <w:style w:type="character" w:customStyle="1" w:styleId="10">
    <w:name w:val="标题 1 字符"/>
    <w:basedOn w:val="a2"/>
    <w:link w:val="1"/>
    <w:uiPriority w:val="9"/>
    <w:rPr>
      <w:rFonts w:ascii="Aptos Display" w:eastAsia="等线 Light" w:hAnsi="Aptos Display" w:cs="宋体"/>
      <w:color w:val="0F4761"/>
      <w:sz w:val="40"/>
      <w:szCs w:val="40"/>
    </w:rPr>
  </w:style>
  <w:style w:type="character" w:customStyle="1" w:styleId="20">
    <w:name w:val="标题 2 字符"/>
    <w:basedOn w:val="a2"/>
    <w:link w:val="2"/>
    <w:uiPriority w:val="9"/>
    <w:rPr>
      <w:rFonts w:ascii="Aptos Display" w:eastAsia="等线 Light" w:hAnsi="Aptos Display" w:cs="宋体"/>
      <w:color w:val="0F4761"/>
      <w:sz w:val="32"/>
      <w:szCs w:val="32"/>
    </w:rPr>
  </w:style>
  <w:style w:type="character" w:customStyle="1" w:styleId="30">
    <w:name w:val="标题 3 字符"/>
    <w:basedOn w:val="a2"/>
    <w:link w:val="3"/>
    <w:uiPriority w:val="9"/>
    <w:rPr>
      <w:rFonts w:eastAsia="等线 Light" w:cs="宋体"/>
      <w:color w:val="0F4761"/>
      <w:sz w:val="28"/>
      <w:szCs w:val="28"/>
    </w:rPr>
  </w:style>
  <w:style w:type="character" w:customStyle="1" w:styleId="40">
    <w:name w:val="标题 4 字符"/>
    <w:basedOn w:val="a2"/>
    <w:link w:val="4"/>
    <w:uiPriority w:val="9"/>
    <w:rPr>
      <w:rFonts w:eastAsia="等线 Light" w:cs="宋体"/>
      <w:i/>
      <w:iCs/>
      <w:color w:val="0F4761"/>
    </w:rPr>
  </w:style>
  <w:style w:type="character" w:customStyle="1" w:styleId="50">
    <w:name w:val="标题 5 字符"/>
    <w:basedOn w:val="a2"/>
    <w:link w:val="5"/>
    <w:uiPriority w:val="9"/>
    <w:rPr>
      <w:rFonts w:eastAsia="等线 Light" w:cs="宋体"/>
      <w:color w:val="0F4761"/>
    </w:rPr>
  </w:style>
  <w:style w:type="character" w:customStyle="1" w:styleId="60">
    <w:name w:val="标题 6 字符"/>
    <w:basedOn w:val="a2"/>
    <w:link w:val="6"/>
    <w:uiPriority w:val="9"/>
    <w:rPr>
      <w:rFonts w:eastAsia="等线 Light" w:cs="宋体"/>
      <w:i/>
      <w:iCs/>
      <w:color w:val="595959"/>
    </w:rPr>
  </w:style>
  <w:style w:type="character" w:customStyle="1" w:styleId="70">
    <w:name w:val="标题 7 字符"/>
    <w:basedOn w:val="a2"/>
    <w:link w:val="7"/>
    <w:uiPriority w:val="9"/>
    <w:rPr>
      <w:rFonts w:eastAsia="等线 Light" w:cs="宋体"/>
      <w:color w:val="595959"/>
    </w:rPr>
  </w:style>
  <w:style w:type="character" w:customStyle="1" w:styleId="80">
    <w:name w:val="标题 8 字符"/>
    <w:basedOn w:val="a2"/>
    <w:link w:val="8"/>
    <w:uiPriority w:val="9"/>
    <w:rPr>
      <w:rFonts w:eastAsia="等线 Light" w:cs="宋体"/>
      <w:i/>
      <w:iCs/>
      <w:color w:val="272727"/>
    </w:rPr>
  </w:style>
  <w:style w:type="character" w:customStyle="1" w:styleId="90">
    <w:name w:val="标题 9 字符"/>
    <w:basedOn w:val="a2"/>
    <w:link w:val="9"/>
    <w:uiPriority w:val="9"/>
    <w:rPr>
      <w:rFonts w:eastAsia="等线 Light" w:cs="宋体"/>
      <w:color w:val="272727"/>
    </w:rPr>
  </w:style>
  <w:style w:type="paragraph" w:styleId="ab">
    <w:name w:val="Block Text"/>
    <w:basedOn w:val="a1"/>
    <w:next w:val="a1"/>
    <w:uiPriority w:val="9"/>
    <w:qFormat/>
    <w:pPr>
      <w:spacing w:before="100" w:after="100"/>
      <w:ind w:left="480" w:right="480"/>
    </w:pPr>
  </w:style>
  <w:style w:type="paragraph" w:styleId="ac">
    <w:name w:val="footnote text"/>
    <w:basedOn w:val="a0"/>
    <w:uiPriority w:val="9"/>
    <w:qFormat/>
  </w:style>
  <w:style w:type="paragraph" w:customStyle="1" w:styleId="FootnoteBlockText">
    <w:name w:val="Footnote Block Text"/>
    <w:basedOn w:val="ac"/>
    <w:next w:val="ac"/>
    <w:uiPriority w:val="9"/>
    <w:qFormat/>
    <w:pPr>
      <w:spacing w:before="100" w:after="100"/>
      <w:ind w:left="480" w:right="480"/>
    </w:pPr>
  </w:style>
  <w:style w:type="table" w:customStyle="1" w:styleId="Table">
    <w:name w:val="Table"/>
    <w:qFormat/>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 w:type="paragraph" w:customStyle="1" w:styleId="DefinitionTerm">
    <w:name w:val="Definition Term"/>
    <w:basedOn w:val="a0"/>
    <w:next w:val="Definition"/>
    <w:pPr>
      <w:keepNext/>
      <w:keepLines/>
      <w:spacing w:after="0"/>
    </w:pPr>
    <w:rPr>
      <w:b/>
    </w:rPr>
  </w:style>
  <w:style w:type="paragraph" w:customStyle="1" w:styleId="Definition">
    <w:name w:val="Definition"/>
    <w:basedOn w:val="a0"/>
  </w:style>
  <w:style w:type="paragraph" w:styleId="ad">
    <w:name w:val="caption"/>
    <w:basedOn w:val="a0"/>
    <w:link w:val="ae"/>
    <w:pPr>
      <w:spacing w:after="120"/>
    </w:pPr>
    <w:rPr>
      <w:i/>
    </w:rPr>
  </w:style>
  <w:style w:type="paragraph" w:customStyle="1" w:styleId="TableCaption">
    <w:name w:val="Table Caption"/>
    <w:basedOn w:val="ad"/>
    <w:pPr>
      <w:keepNext/>
    </w:pPr>
  </w:style>
  <w:style w:type="paragraph" w:customStyle="1" w:styleId="ImageCaption">
    <w:name w:val="Image Caption"/>
    <w:basedOn w:val="ad"/>
  </w:style>
  <w:style w:type="paragraph" w:customStyle="1" w:styleId="Figure">
    <w:name w:val="Figure"/>
    <w:basedOn w:val="a0"/>
  </w:style>
  <w:style w:type="paragraph" w:customStyle="1" w:styleId="CaptionedFigure">
    <w:name w:val="Captioned Figure"/>
    <w:basedOn w:val="Figure"/>
    <w:pPr>
      <w:keepNext/>
    </w:pPr>
  </w:style>
  <w:style w:type="character" w:customStyle="1" w:styleId="ae">
    <w:name w:val="题注 字符"/>
    <w:basedOn w:val="a2"/>
    <w:link w:val="ad"/>
  </w:style>
  <w:style w:type="character" w:customStyle="1" w:styleId="VerbatimChar">
    <w:name w:val="Verbatim Char"/>
    <w:basedOn w:val="ae"/>
    <w:link w:val="SourceCode"/>
    <w:rPr>
      <w:rFonts w:ascii="Consolas" w:hAnsi="Consolas"/>
      <w:sz w:val="22"/>
    </w:rPr>
  </w:style>
  <w:style w:type="character" w:customStyle="1" w:styleId="SectionNumber">
    <w:name w:val="Section Number"/>
    <w:basedOn w:val="ae"/>
  </w:style>
  <w:style w:type="character" w:styleId="af">
    <w:name w:val="footnote reference"/>
    <w:basedOn w:val="ae"/>
    <w:rPr>
      <w:vertAlign w:val="superscript"/>
    </w:rPr>
  </w:style>
  <w:style w:type="character" w:styleId="af0">
    <w:name w:val="Hyperlink"/>
    <w:basedOn w:val="ae"/>
    <w:rPr>
      <w:color w:val="156082"/>
    </w:rPr>
  </w:style>
  <w:style w:type="paragraph" w:styleId="TOC">
    <w:name w:val="TOC Heading"/>
    <w:basedOn w:val="1"/>
    <w:next w:val="a1"/>
    <w:uiPriority w:val="39"/>
    <w:qFormat/>
    <w:pPr>
      <w:spacing w:before="240" w:line="259" w:lineRule="auto"/>
      <w:outlineLvl w:val="9"/>
    </w:pPr>
  </w:style>
  <w:style w:type="paragraph" w:customStyle="1" w:styleId="SourceCode">
    <w:name w:val="Source Code"/>
    <w:basedOn w:val="a0"/>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b/>
      <w:color w:val="008000"/>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color w:val="008000"/>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paragraph" w:styleId="af1">
    <w:name w:val="header"/>
    <w:basedOn w:val="a0"/>
    <w:link w:val="af2"/>
    <w:pPr>
      <w:tabs>
        <w:tab w:val="center" w:pos="4153"/>
        <w:tab w:val="right" w:pos="8306"/>
      </w:tabs>
      <w:snapToGrid w:val="0"/>
      <w:jc w:val="center"/>
    </w:pPr>
    <w:rPr>
      <w:sz w:val="18"/>
      <w:szCs w:val="18"/>
    </w:rPr>
  </w:style>
  <w:style w:type="character" w:customStyle="1" w:styleId="af2">
    <w:name w:val="页眉 字符"/>
    <w:basedOn w:val="a2"/>
    <w:link w:val="af1"/>
    <w:rPr>
      <w:sz w:val="18"/>
      <w:szCs w:val="18"/>
    </w:rPr>
  </w:style>
  <w:style w:type="paragraph" w:styleId="af3">
    <w:name w:val="footer"/>
    <w:basedOn w:val="a0"/>
    <w:link w:val="af4"/>
    <w:uiPriority w:val="99"/>
    <w:pPr>
      <w:tabs>
        <w:tab w:val="center" w:pos="4153"/>
        <w:tab w:val="right" w:pos="8306"/>
      </w:tabs>
      <w:snapToGrid w:val="0"/>
    </w:pPr>
    <w:rPr>
      <w:sz w:val="18"/>
      <w:szCs w:val="18"/>
    </w:rPr>
  </w:style>
  <w:style w:type="character" w:customStyle="1" w:styleId="af4">
    <w:name w:val="页脚 字符"/>
    <w:basedOn w:val="a2"/>
    <w:link w:val="af3"/>
    <w:uiPriority w:val="99"/>
    <w:rPr>
      <w:sz w:val="18"/>
      <w:szCs w:val="18"/>
    </w:rPr>
  </w:style>
  <w:style w:type="paragraph" w:styleId="af5">
    <w:name w:val="List Paragraph"/>
    <w:basedOn w:val="a0"/>
    <w:pPr>
      <w:ind w:firstLineChars="200" w:firstLine="420"/>
    </w:pPr>
  </w:style>
  <w:style w:type="character" w:styleId="af6">
    <w:name w:val="annotation reference"/>
    <w:basedOn w:val="a2"/>
    <w:rPr>
      <w:sz w:val="21"/>
      <w:szCs w:val="21"/>
    </w:rPr>
  </w:style>
  <w:style w:type="paragraph" w:styleId="af7">
    <w:name w:val="annotation text"/>
    <w:basedOn w:val="a0"/>
    <w:link w:val="af8"/>
  </w:style>
  <w:style w:type="character" w:customStyle="1" w:styleId="af8">
    <w:name w:val="批注文字 字符"/>
    <w:basedOn w:val="a2"/>
    <w:link w:val="af7"/>
  </w:style>
  <w:style w:type="paragraph" w:styleId="af9">
    <w:name w:val="annotation subject"/>
    <w:basedOn w:val="af7"/>
    <w:next w:val="af7"/>
    <w:link w:val="afa"/>
    <w:rPr>
      <w:b/>
      <w:bCs/>
    </w:rPr>
  </w:style>
  <w:style w:type="character" w:customStyle="1" w:styleId="afa">
    <w:name w:val="批注主题 字符"/>
    <w:basedOn w:val="af8"/>
    <w:link w:val="af9"/>
    <w:rPr>
      <w:b/>
      <w:bCs/>
    </w:rPr>
  </w:style>
  <w:style w:type="paragraph" w:styleId="afb">
    <w:name w:val="Revision"/>
    <w:pPr>
      <w:spacing w:after="0"/>
    </w:pPr>
  </w:style>
  <w:style w:type="paragraph" w:styleId="afc">
    <w:name w:val="Balloon Text"/>
    <w:basedOn w:val="a0"/>
    <w:link w:val="afd"/>
    <w:pPr>
      <w:spacing w:after="0"/>
    </w:pPr>
    <w:rPr>
      <w:sz w:val="18"/>
      <w:szCs w:val="18"/>
    </w:rPr>
  </w:style>
  <w:style w:type="character" w:customStyle="1" w:styleId="afd">
    <w:name w:val="批注框文本 字符"/>
    <w:basedOn w:val="a2"/>
    <w:link w:val="afc"/>
    <w:rPr>
      <w:sz w:val="18"/>
      <w:szCs w:val="18"/>
    </w:rPr>
  </w:style>
  <w:style w:type="paragraph" w:customStyle="1" w:styleId="afe">
    <w:name w:val="段"/>
    <w:link w:val="Char"/>
    <w:qFormat/>
    <w:pPr>
      <w:autoSpaceDE w:val="0"/>
      <w:autoSpaceDN w:val="0"/>
      <w:spacing w:after="0"/>
      <w:ind w:firstLineChars="200" w:firstLine="200"/>
      <w:jc w:val="both"/>
    </w:pPr>
    <w:rPr>
      <w:rFonts w:ascii="宋体" w:eastAsia="宋体" w:hAnsi="Times New Roman" w:cs="Times New Roman"/>
      <w:sz w:val="21"/>
      <w:szCs w:val="20"/>
    </w:rPr>
  </w:style>
  <w:style w:type="character" w:customStyle="1" w:styleId="Char">
    <w:name w:val="段 Char"/>
    <w:link w:val="afe"/>
    <w:qFormat/>
    <w:rPr>
      <w:rFonts w:ascii="宋体" w:eastAsia="宋体" w:hAnsi="Times New Roman" w:cs="Times New Roman"/>
      <w:sz w:val="21"/>
      <w:szCs w:val="20"/>
    </w:rPr>
  </w:style>
  <w:style w:type="paragraph" w:customStyle="1" w:styleId="aff">
    <w:name w:val="标准文件_段"/>
    <w:link w:val="Char0"/>
    <w:qFormat/>
    <w:rsid w:val="00EF7444"/>
    <w:pPr>
      <w:autoSpaceDE w:val="0"/>
      <w:autoSpaceDN w:val="0"/>
      <w:spacing w:after="0"/>
      <w:ind w:firstLineChars="200" w:firstLine="200"/>
      <w:jc w:val="both"/>
    </w:pPr>
    <w:rPr>
      <w:rFonts w:ascii="Times New Roman" w:eastAsia="宋体" w:hAnsi="Times New Roman" w:cs="Times New Roman"/>
      <w:noProof/>
      <w:sz w:val="21"/>
      <w:szCs w:val="20"/>
    </w:rPr>
  </w:style>
  <w:style w:type="character" w:customStyle="1" w:styleId="Char0">
    <w:name w:val="标准文件_段 Char"/>
    <w:link w:val="aff"/>
    <w:qFormat/>
    <w:rsid w:val="00EF7444"/>
    <w:rPr>
      <w:rFonts w:ascii="Times New Roman" w:eastAsia="宋体" w:hAnsi="Times New Roman" w:cs="Times New Roman"/>
      <w:noProof/>
      <w:sz w:val="21"/>
      <w:szCs w:val="20"/>
    </w:rPr>
  </w:style>
  <w:style w:type="paragraph" w:customStyle="1" w:styleId="a">
    <w:name w:val="标准文件_正文表标题"/>
    <w:next w:val="aff"/>
    <w:rsid w:val="00284314"/>
    <w:pPr>
      <w:numPr>
        <w:numId w:val="17"/>
      </w:numPr>
      <w:tabs>
        <w:tab w:val="left" w:pos="0"/>
      </w:tabs>
      <w:spacing w:beforeLines="50" w:before="50" w:afterLines="50" w:after="50"/>
      <w:jc w:val="center"/>
    </w:pPr>
    <w:rPr>
      <w:rFonts w:ascii="黑体" w:eastAsia="黑体" w:hAnsi="Times New Roman" w:cs="Times New Roman"/>
      <w:sz w:val="21"/>
      <w:szCs w:val="20"/>
    </w:rPr>
  </w:style>
  <w:style w:type="paragraph" w:customStyle="1" w:styleId="aff0">
    <w:name w:val="标准文件_表格"/>
    <w:basedOn w:val="aff"/>
    <w:qFormat/>
    <w:rsid w:val="00284314"/>
    <w:pPr>
      <w:ind w:firstLineChars="0" w:firstLine="0"/>
      <w:jc w:val="center"/>
    </w:pPr>
    <w:rPr>
      <w:sz w:val="18"/>
    </w:rPr>
  </w:style>
  <w:style w:type="table" w:styleId="aff1">
    <w:name w:val="Table Grid"/>
    <w:basedOn w:val="a3"/>
    <w:uiPriority w:val="39"/>
    <w:rsid w:val="00284314"/>
    <w:pPr>
      <w:spacing w:after="0"/>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6057139">
      <w:bodyDiv w:val="1"/>
      <w:marLeft w:val="0"/>
      <w:marRight w:val="0"/>
      <w:marTop w:val="0"/>
      <w:marBottom w:val="0"/>
      <w:divBdr>
        <w:top w:val="none" w:sz="0" w:space="0" w:color="auto"/>
        <w:left w:val="none" w:sz="0" w:space="0" w:color="auto"/>
        <w:bottom w:val="none" w:sz="0" w:space="0" w:color="auto"/>
        <w:right w:val="none" w:sz="0" w:space="0" w:color="auto"/>
      </w:divBdr>
    </w:div>
    <w:div w:id="587155565">
      <w:bodyDiv w:val="1"/>
      <w:marLeft w:val="0"/>
      <w:marRight w:val="0"/>
      <w:marTop w:val="0"/>
      <w:marBottom w:val="0"/>
      <w:divBdr>
        <w:top w:val="none" w:sz="0" w:space="0" w:color="auto"/>
        <w:left w:val="none" w:sz="0" w:space="0" w:color="auto"/>
        <w:bottom w:val="none" w:sz="0" w:space="0" w:color="auto"/>
        <w:right w:val="none" w:sz="0" w:space="0" w:color="auto"/>
      </w:divBdr>
    </w:div>
    <w:div w:id="15013074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TotalTime>
  <Pages>31</Pages>
  <Words>8843</Words>
  <Characters>9552</Characters>
  <Application>Microsoft Office Word</Application>
  <DocSecurity>0</DocSecurity>
  <Lines>477</Lines>
  <Paragraphs>334</Paragraphs>
  <ScaleCrop>false</ScaleCrop>
  <Company/>
  <LinksUpToDate>false</LinksUpToDate>
  <CharactersWithSpaces>18061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Qingli Zhang</dc:creator>
  <cp:lastModifiedBy>lixia pang</cp:lastModifiedBy>
  <cp:revision>6</cp:revision>
  <dcterms:created xsi:type="dcterms:W3CDTF">2026-04-15T08:28:00Z</dcterms:created>
  <dcterms:modified xsi:type="dcterms:W3CDTF">2026-04-16T09:09:00Z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JKmainfont">
    <vt:lpwstr>Microsoft YaHei</vt:lpwstr>
  </property>
  <property fmtid="{D5CDD505-2E9C-101B-9397-08002B2CF9AE}" pid="3" name="classoption">
    <vt:lpwstr/>
  </property>
  <property fmtid="{D5CDD505-2E9C-101B-9397-08002B2CF9AE}" pid="4" name="documentclass">
    <vt:lpwstr>article</vt:lpwstr>
  </property>
  <property fmtid="{D5CDD505-2E9C-101B-9397-08002B2CF9AE}" pid="5" name="fontsize">
    <vt:lpwstr>12pt</vt:lpwstr>
  </property>
  <property fmtid="{D5CDD505-2E9C-101B-9397-08002B2CF9AE}" pid="6" name="footnote-font-size">
    <vt:lpwstr>11pt</vt:lpwstr>
  </property>
  <property fmtid="{D5CDD505-2E9C-101B-9397-08002B2CF9AE}" pid="7" name="geometry">
    <vt:lpwstr>margin=2.54cm</vt:lpwstr>
  </property>
  <property fmtid="{D5CDD505-2E9C-101B-9397-08002B2CF9AE}" pid="8" name="indent">
    <vt:lpwstr>True</vt:lpwstr>
  </property>
  <property fmtid="{D5CDD505-2E9C-101B-9397-08002B2CF9AE}" pid="9" name="linestretch">
    <vt:lpwstr>1.5</vt:lpwstr>
  </property>
  <property fmtid="{D5CDD505-2E9C-101B-9397-08002B2CF9AE}" pid="10" name="lof-title">
    <vt:lpwstr>图目录</vt:lpwstr>
  </property>
  <property fmtid="{D5CDD505-2E9C-101B-9397-08002B2CF9AE}" pid="11" name="lot-title">
    <vt:lpwstr>表目录</vt:lpwstr>
  </property>
  <property fmtid="{D5CDD505-2E9C-101B-9397-08002B2CF9AE}" pid="12" name="mainfont">
    <vt:lpwstr>Microsoft YaHei</vt:lpwstr>
  </property>
  <property fmtid="{D5CDD505-2E9C-101B-9397-08002B2CF9AE}" pid="13" name="pdf-engine">
    <vt:lpwstr>xelatex</vt:lpwstr>
  </property>
  <property fmtid="{D5CDD505-2E9C-101B-9397-08002B2CF9AE}" pid="14" name="punctuation-in-quotes">
    <vt:lpwstr>False</vt:lpwstr>
  </property>
  <property fmtid="{D5CDD505-2E9C-101B-9397-08002B2CF9AE}" pid="15" name="toc-title">
    <vt:lpwstr>目录</vt:lpwstr>
  </property>
  <property fmtid="{D5CDD505-2E9C-101B-9397-08002B2CF9AE}" pid="16" name="ICV">
    <vt:lpwstr>98f2a5f9798b495eb4c94b29ae101cbd_22</vt:lpwstr>
  </property>
</Properties>
</file>