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C8228F">
      <w:pPr>
        <w:keepNext w:val="0"/>
        <w:keepLines w:val="0"/>
        <w:widowControl/>
        <w:suppressLineNumbers w:val="0"/>
        <w:jc w:val="left"/>
        <w:rPr>
          <w:rFonts w:ascii="华文中宋" w:hAnsi="华文中宋" w:eastAsia="华文中宋" w:cs="华文中宋"/>
          <w:b/>
          <w:bCs/>
          <w:color w:val="000000"/>
          <w:kern w:val="0"/>
          <w:sz w:val="48"/>
          <w:szCs w:val="48"/>
          <w:lang w:val="en-US" w:eastAsia="zh-CN" w:bidi="ar"/>
        </w:rPr>
      </w:pPr>
    </w:p>
    <w:p w14:paraId="33A19C67">
      <w:pPr>
        <w:keepNext w:val="0"/>
        <w:keepLines w:val="0"/>
        <w:widowControl/>
        <w:suppressLineNumbers w:val="0"/>
        <w:jc w:val="left"/>
        <w:rPr>
          <w:rFonts w:ascii="华文中宋" w:hAnsi="华文中宋" w:eastAsia="华文中宋" w:cs="华文中宋"/>
          <w:b/>
          <w:bCs/>
          <w:color w:val="000000"/>
          <w:kern w:val="0"/>
          <w:sz w:val="48"/>
          <w:szCs w:val="48"/>
          <w:lang w:val="en-US" w:eastAsia="zh-CN" w:bidi="ar"/>
        </w:rPr>
      </w:pPr>
    </w:p>
    <w:p w14:paraId="5E2500F2">
      <w:pPr>
        <w:keepNext w:val="0"/>
        <w:keepLines w:val="0"/>
        <w:widowControl/>
        <w:suppressLineNumbers w:val="0"/>
        <w:jc w:val="left"/>
        <w:rPr>
          <w:rFonts w:ascii="华文中宋" w:hAnsi="华文中宋" w:eastAsia="华文中宋" w:cs="华文中宋"/>
          <w:b/>
          <w:bCs/>
          <w:color w:val="000000"/>
          <w:kern w:val="0"/>
          <w:sz w:val="48"/>
          <w:szCs w:val="48"/>
          <w:lang w:val="en-US" w:eastAsia="zh-CN" w:bidi="ar"/>
        </w:rPr>
      </w:pPr>
    </w:p>
    <w:p w14:paraId="1E61BE80">
      <w:pPr>
        <w:keepNext w:val="0"/>
        <w:keepLines w:val="0"/>
        <w:pageBreakBefore w:val="0"/>
        <w:widowControl/>
        <w:suppressLineNumbers w:val="0"/>
        <w:kinsoku/>
        <w:wordWrap/>
        <w:overflowPunct/>
        <w:topLinePunct w:val="0"/>
        <w:autoSpaceDE/>
        <w:autoSpaceDN/>
        <w:bidi w:val="0"/>
        <w:adjustRightInd/>
        <w:snapToGrid/>
        <w:spacing w:after="0" w:afterLines="100" w:line="240" w:lineRule="auto"/>
        <w:jc w:val="center"/>
        <w:textAlignment w:val="auto"/>
        <w:rPr>
          <w:rFonts w:hint="eastAsia" w:ascii="微软雅黑" w:hAnsi="微软雅黑" w:eastAsia="微软雅黑" w:cs="微软雅黑"/>
          <w:b/>
          <w:bCs/>
          <w:sz w:val="52"/>
          <w:szCs w:val="52"/>
        </w:rPr>
      </w:pPr>
      <w:r>
        <w:rPr>
          <w:rFonts w:hint="eastAsia" w:ascii="微软雅黑" w:hAnsi="微软雅黑" w:eastAsia="微软雅黑" w:cs="微软雅黑"/>
          <w:b/>
          <w:bCs/>
          <w:color w:val="000000"/>
          <w:kern w:val="0"/>
          <w:sz w:val="52"/>
          <w:szCs w:val="52"/>
          <w:lang w:val="en-US" w:eastAsia="zh-CN" w:bidi="ar"/>
        </w:rPr>
        <w:t>中国渔业协会团体标准</w:t>
      </w:r>
    </w:p>
    <w:p w14:paraId="7497A267">
      <w:pPr>
        <w:keepNext w:val="0"/>
        <w:keepLines w:val="0"/>
        <w:pageBreakBefore w:val="0"/>
        <w:widowControl/>
        <w:suppressLineNumbers w:val="0"/>
        <w:kinsoku/>
        <w:wordWrap/>
        <w:overflowPunct/>
        <w:topLinePunct w:val="0"/>
        <w:autoSpaceDE/>
        <w:autoSpaceDN/>
        <w:bidi w:val="0"/>
        <w:adjustRightInd/>
        <w:snapToGrid/>
        <w:spacing w:after="0" w:afterLines="100" w:line="240" w:lineRule="auto"/>
        <w:jc w:val="center"/>
        <w:textAlignment w:val="auto"/>
        <w:rPr>
          <w:rFonts w:hint="eastAsia" w:ascii="微软雅黑" w:hAnsi="微软雅黑" w:eastAsia="微软雅黑" w:cs="微软雅黑"/>
          <w:b/>
          <w:bCs/>
          <w:sz w:val="52"/>
          <w:szCs w:val="52"/>
        </w:rPr>
      </w:pPr>
      <w:r>
        <w:rPr>
          <w:rFonts w:hint="eastAsia" w:ascii="微软雅黑" w:hAnsi="微软雅黑" w:eastAsia="微软雅黑" w:cs="微软雅黑"/>
          <w:b/>
          <w:bCs/>
          <w:color w:val="000000"/>
          <w:kern w:val="0"/>
          <w:sz w:val="52"/>
          <w:szCs w:val="52"/>
          <w:lang w:val="en-US" w:eastAsia="zh-CN" w:bidi="ar"/>
        </w:rPr>
        <w:t>《渔船AIS智能救生衣》</w:t>
      </w:r>
    </w:p>
    <w:p w14:paraId="1AF72625">
      <w:pPr>
        <w:keepNext w:val="0"/>
        <w:keepLines w:val="0"/>
        <w:pageBreakBefore w:val="0"/>
        <w:widowControl/>
        <w:suppressLineNumbers w:val="0"/>
        <w:kinsoku/>
        <w:wordWrap/>
        <w:overflowPunct/>
        <w:topLinePunct w:val="0"/>
        <w:autoSpaceDE/>
        <w:autoSpaceDN/>
        <w:bidi w:val="0"/>
        <w:adjustRightInd/>
        <w:snapToGrid/>
        <w:spacing w:after="0" w:afterLines="100" w:line="240" w:lineRule="auto"/>
        <w:jc w:val="center"/>
        <w:textAlignment w:val="auto"/>
        <w:rPr>
          <w:rFonts w:hint="eastAsia" w:ascii="微软雅黑" w:hAnsi="微软雅黑" w:eastAsia="微软雅黑" w:cs="微软雅黑"/>
          <w:b/>
          <w:bCs/>
          <w:sz w:val="52"/>
          <w:szCs w:val="52"/>
        </w:rPr>
      </w:pPr>
      <w:r>
        <w:rPr>
          <w:rFonts w:hint="eastAsia" w:ascii="微软雅黑" w:hAnsi="微软雅黑" w:eastAsia="微软雅黑" w:cs="微软雅黑"/>
          <w:b/>
          <w:bCs/>
          <w:color w:val="000000"/>
          <w:kern w:val="0"/>
          <w:sz w:val="52"/>
          <w:szCs w:val="52"/>
          <w:lang w:val="en-US" w:eastAsia="zh-CN" w:bidi="ar"/>
        </w:rPr>
        <w:t>编 制 说 明</w:t>
      </w:r>
    </w:p>
    <w:p w14:paraId="266E03DC">
      <w:pPr>
        <w:keepNext w:val="0"/>
        <w:keepLines w:val="0"/>
        <w:widowControl/>
        <w:suppressLineNumbers w:val="0"/>
        <w:spacing w:line="240" w:lineRule="auto"/>
        <w:jc w:val="center"/>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000000"/>
          <w:kern w:val="0"/>
          <w:sz w:val="32"/>
          <w:szCs w:val="32"/>
          <w:lang w:val="en-US" w:eastAsia="zh-CN" w:bidi="ar"/>
        </w:rPr>
        <w:t>（征求意见稿）</w:t>
      </w:r>
    </w:p>
    <w:p w14:paraId="09347843">
      <w:pPr>
        <w:keepNext w:val="0"/>
        <w:keepLines w:val="0"/>
        <w:widowControl/>
        <w:suppressLineNumbers w:val="0"/>
        <w:jc w:val="left"/>
        <w:rPr>
          <w:rFonts w:hint="eastAsia" w:ascii="宋体" w:hAnsi="宋体" w:eastAsia="宋体" w:cs="宋体"/>
          <w:color w:val="000000"/>
          <w:kern w:val="0"/>
          <w:sz w:val="36"/>
          <w:szCs w:val="36"/>
          <w:lang w:val="en-US" w:eastAsia="zh-CN" w:bidi="ar"/>
        </w:rPr>
      </w:pPr>
    </w:p>
    <w:p w14:paraId="343CF89F">
      <w:pPr>
        <w:keepNext w:val="0"/>
        <w:keepLines w:val="0"/>
        <w:widowControl/>
        <w:suppressLineNumbers w:val="0"/>
        <w:jc w:val="left"/>
        <w:rPr>
          <w:rFonts w:hint="eastAsia" w:ascii="宋体" w:hAnsi="宋体" w:eastAsia="宋体" w:cs="宋体"/>
          <w:color w:val="000000"/>
          <w:kern w:val="0"/>
          <w:sz w:val="36"/>
          <w:szCs w:val="36"/>
          <w:lang w:val="en-US" w:eastAsia="zh-CN" w:bidi="ar"/>
        </w:rPr>
      </w:pPr>
    </w:p>
    <w:p w14:paraId="3C0B8746">
      <w:pPr>
        <w:keepNext w:val="0"/>
        <w:keepLines w:val="0"/>
        <w:widowControl/>
        <w:suppressLineNumbers w:val="0"/>
        <w:jc w:val="left"/>
        <w:rPr>
          <w:rFonts w:hint="eastAsia" w:ascii="宋体" w:hAnsi="宋体" w:eastAsia="宋体" w:cs="宋体"/>
          <w:color w:val="000000"/>
          <w:kern w:val="0"/>
          <w:sz w:val="36"/>
          <w:szCs w:val="36"/>
          <w:lang w:val="en-US" w:eastAsia="zh-CN" w:bidi="ar"/>
        </w:rPr>
      </w:pPr>
    </w:p>
    <w:p w14:paraId="0F2AF211">
      <w:pPr>
        <w:keepNext w:val="0"/>
        <w:keepLines w:val="0"/>
        <w:widowControl/>
        <w:suppressLineNumbers w:val="0"/>
        <w:jc w:val="left"/>
        <w:rPr>
          <w:rFonts w:hint="eastAsia" w:ascii="宋体" w:hAnsi="宋体" w:eastAsia="宋体" w:cs="宋体"/>
          <w:color w:val="000000"/>
          <w:kern w:val="0"/>
          <w:sz w:val="36"/>
          <w:szCs w:val="36"/>
          <w:lang w:val="en-US" w:eastAsia="zh-CN" w:bidi="ar"/>
        </w:rPr>
      </w:pPr>
    </w:p>
    <w:p w14:paraId="53BD255A">
      <w:pPr>
        <w:keepNext w:val="0"/>
        <w:keepLines w:val="0"/>
        <w:widowControl/>
        <w:suppressLineNumbers w:val="0"/>
        <w:jc w:val="left"/>
        <w:rPr>
          <w:rFonts w:hint="eastAsia" w:ascii="宋体" w:hAnsi="宋体" w:eastAsia="宋体" w:cs="宋体"/>
          <w:color w:val="000000"/>
          <w:kern w:val="0"/>
          <w:sz w:val="36"/>
          <w:szCs w:val="36"/>
          <w:lang w:val="en-US" w:eastAsia="zh-CN" w:bidi="ar"/>
        </w:rPr>
      </w:pPr>
    </w:p>
    <w:p w14:paraId="58ADB649">
      <w:pPr>
        <w:keepNext w:val="0"/>
        <w:keepLines w:val="0"/>
        <w:widowControl/>
        <w:suppressLineNumbers w:val="0"/>
        <w:jc w:val="left"/>
        <w:rPr>
          <w:rFonts w:hint="eastAsia" w:ascii="宋体" w:hAnsi="宋体" w:eastAsia="宋体" w:cs="宋体"/>
          <w:color w:val="000000"/>
          <w:kern w:val="0"/>
          <w:sz w:val="36"/>
          <w:szCs w:val="36"/>
          <w:lang w:val="en-US" w:eastAsia="zh-CN" w:bidi="ar"/>
        </w:rPr>
      </w:pPr>
    </w:p>
    <w:p w14:paraId="0371BBDF">
      <w:pPr>
        <w:keepNext w:val="0"/>
        <w:keepLines w:val="0"/>
        <w:widowControl/>
        <w:suppressLineNumbers w:val="0"/>
        <w:jc w:val="left"/>
        <w:rPr>
          <w:rFonts w:hint="eastAsia" w:ascii="宋体" w:hAnsi="宋体" w:eastAsia="宋体" w:cs="宋体"/>
          <w:color w:val="000000"/>
          <w:kern w:val="0"/>
          <w:sz w:val="36"/>
          <w:szCs w:val="36"/>
          <w:lang w:val="en-US" w:eastAsia="zh-CN" w:bidi="ar"/>
        </w:rPr>
      </w:pPr>
    </w:p>
    <w:p w14:paraId="22E25FA4">
      <w:pPr>
        <w:keepNext w:val="0"/>
        <w:keepLines w:val="0"/>
        <w:widowControl/>
        <w:suppressLineNumbers w:val="0"/>
        <w:jc w:val="left"/>
        <w:rPr>
          <w:rFonts w:hint="eastAsia" w:ascii="宋体" w:hAnsi="宋体" w:eastAsia="宋体" w:cs="宋体"/>
          <w:color w:val="000000"/>
          <w:kern w:val="0"/>
          <w:sz w:val="36"/>
          <w:szCs w:val="36"/>
          <w:lang w:val="en-US" w:eastAsia="zh-CN" w:bidi="ar"/>
        </w:rPr>
      </w:pPr>
    </w:p>
    <w:p w14:paraId="141889E6">
      <w:pPr>
        <w:keepNext w:val="0"/>
        <w:keepLines w:val="0"/>
        <w:widowControl/>
        <w:suppressLineNumbers w:val="0"/>
        <w:jc w:val="left"/>
        <w:rPr>
          <w:rFonts w:hint="eastAsia" w:ascii="宋体" w:hAnsi="宋体" w:eastAsia="宋体" w:cs="宋体"/>
          <w:color w:val="000000"/>
          <w:kern w:val="0"/>
          <w:sz w:val="36"/>
          <w:szCs w:val="36"/>
          <w:lang w:val="en-US" w:eastAsia="zh-CN" w:bidi="ar"/>
        </w:rPr>
      </w:pPr>
    </w:p>
    <w:p w14:paraId="0E1314F7">
      <w:pPr>
        <w:keepNext w:val="0"/>
        <w:keepLines w:val="0"/>
        <w:widowControl/>
        <w:suppressLineNumbers w:val="0"/>
        <w:jc w:val="left"/>
        <w:rPr>
          <w:rFonts w:hint="eastAsia" w:ascii="宋体" w:hAnsi="宋体" w:eastAsia="宋体" w:cs="宋体"/>
          <w:color w:val="000000"/>
          <w:kern w:val="0"/>
          <w:sz w:val="36"/>
          <w:szCs w:val="36"/>
          <w:lang w:val="en-US" w:eastAsia="zh-CN" w:bidi="ar"/>
        </w:rPr>
      </w:pPr>
    </w:p>
    <w:p w14:paraId="5C7E3E45">
      <w:pPr>
        <w:keepNext w:val="0"/>
        <w:keepLines w:val="0"/>
        <w:widowControl/>
        <w:suppressLineNumbers w:val="0"/>
        <w:jc w:val="left"/>
        <w:rPr>
          <w:rFonts w:hint="eastAsia" w:asciiTheme="minorEastAsia" w:hAnsiTheme="minorEastAsia" w:eastAsiaTheme="minorEastAsia" w:cstheme="minorEastAsia"/>
          <w:color w:val="000000"/>
          <w:kern w:val="0"/>
          <w:sz w:val="36"/>
          <w:szCs w:val="36"/>
          <w:lang w:val="en-US" w:eastAsia="zh-CN" w:bidi="ar"/>
        </w:rPr>
      </w:pPr>
    </w:p>
    <w:p w14:paraId="4E4D8563">
      <w:pPr>
        <w:keepNext w:val="0"/>
        <w:keepLines w:val="0"/>
        <w:widowControl/>
        <w:suppressLineNumbers w:val="0"/>
        <w:spacing w:line="360" w:lineRule="auto"/>
        <w:jc w:val="center"/>
        <w:rPr>
          <w:rFonts w:hint="eastAsia" w:asciiTheme="minorEastAsia" w:hAnsiTheme="minorEastAsia" w:eastAsiaTheme="minorEastAsia" w:cstheme="minorEastAsia"/>
          <w:lang w:val="en-US"/>
        </w:rPr>
      </w:pPr>
      <w:r>
        <w:rPr>
          <w:rFonts w:hint="eastAsia" w:asciiTheme="minorEastAsia" w:hAnsiTheme="minorEastAsia" w:eastAsiaTheme="minorEastAsia" w:cstheme="minorEastAsia"/>
          <w:color w:val="000000"/>
          <w:kern w:val="0"/>
          <w:sz w:val="36"/>
          <w:szCs w:val="36"/>
          <w:lang w:val="en-US" w:eastAsia="zh-CN" w:bidi="ar"/>
        </w:rPr>
        <w:t>《渔船AIS智能救生衣》起草组</w:t>
      </w:r>
    </w:p>
    <w:p w14:paraId="2945344A">
      <w:pPr>
        <w:keepNext w:val="0"/>
        <w:keepLines w:val="0"/>
        <w:widowControl/>
        <w:suppressLineNumbers w:val="0"/>
        <w:spacing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36"/>
          <w:szCs w:val="36"/>
          <w:lang w:val="en-US" w:eastAsia="zh-CN" w:bidi="ar"/>
        </w:rPr>
        <w:t>二○二六年三月</w:t>
      </w:r>
    </w:p>
    <w:p w14:paraId="570CABFE">
      <w:pPr>
        <w:keepNext w:val="0"/>
        <w:keepLines w:val="0"/>
        <w:pageBreakBefore w:val="0"/>
        <w:widowControl w:val="0"/>
        <w:kinsoku/>
        <w:wordWrap/>
        <w:overflowPunct/>
        <w:topLinePunct w:val="0"/>
        <w:autoSpaceDE/>
        <w:autoSpaceDN/>
        <w:bidi w:val="0"/>
        <w:adjustRightInd/>
        <w:snapToGrid/>
        <w:spacing w:before="100" w:after="100" w:line="240" w:lineRule="auto"/>
        <w:ind w:left="0"/>
        <w:jc w:val="center"/>
        <w:textAlignment w:val="auto"/>
        <w:rPr>
          <w:rFonts w:hint="eastAsia" w:ascii="微软雅黑" w:hAnsi="微软雅黑" w:eastAsia="微软雅黑" w:cs="微软雅黑"/>
          <w:b/>
          <w:bCs w:val="0"/>
          <w:sz w:val="36"/>
          <w:szCs w:val="36"/>
          <w:lang w:eastAsia="zh-CN"/>
        </w:rPr>
      </w:pPr>
      <w:r>
        <w:rPr>
          <w:rFonts w:hint="eastAsia" w:asciiTheme="minorEastAsia" w:hAnsiTheme="minorEastAsia" w:eastAsiaTheme="minorEastAsia" w:cstheme="minorEastAsia"/>
          <w:b/>
          <w:sz w:val="21"/>
          <w:szCs w:val="21"/>
        </w:rPr>
        <w:br w:type="page"/>
      </w:r>
      <w:r>
        <w:rPr>
          <w:rFonts w:hint="eastAsia" w:ascii="微软雅黑" w:hAnsi="微软雅黑" w:eastAsia="微软雅黑" w:cs="微软雅黑"/>
          <w:b/>
          <w:bCs w:val="0"/>
          <w:sz w:val="36"/>
          <w:szCs w:val="36"/>
          <w:lang w:eastAsia="zh-CN"/>
        </w:rPr>
        <w:t>《</w:t>
      </w:r>
      <w:r>
        <w:rPr>
          <w:rFonts w:hint="eastAsia" w:ascii="微软雅黑" w:hAnsi="微软雅黑" w:eastAsia="微软雅黑" w:cs="微软雅黑"/>
          <w:b/>
          <w:bCs w:val="0"/>
          <w:sz w:val="36"/>
          <w:szCs w:val="36"/>
        </w:rPr>
        <w:t>渔船AIS智能救生衣</w:t>
      </w:r>
      <w:r>
        <w:rPr>
          <w:rFonts w:hint="eastAsia" w:ascii="微软雅黑" w:hAnsi="微软雅黑" w:eastAsia="微软雅黑" w:cs="微软雅黑"/>
          <w:b/>
          <w:bCs w:val="0"/>
          <w:sz w:val="36"/>
          <w:szCs w:val="36"/>
          <w:lang w:eastAsia="zh-CN"/>
        </w:rPr>
        <w:t>》</w:t>
      </w:r>
    </w:p>
    <w:p w14:paraId="6B19AED8">
      <w:pPr>
        <w:keepNext w:val="0"/>
        <w:keepLines w:val="0"/>
        <w:pageBreakBefore w:val="0"/>
        <w:widowControl w:val="0"/>
        <w:kinsoku/>
        <w:wordWrap/>
        <w:overflowPunct/>
        <w:topLinePunct w:val="0"/>
        <w:autoSpaceDE/>
        <w:autoSpaceDN/>
        <w:bidi w:val="0"/>
        <w:adjustRightInd/>
        <w:snapToGrid/>
        <w:spacing w:before="100" w:after="100" w:line="240" w:lineRule="auto"/>
        <w:ind w:left="0"/>
        <w:jc w:val="center"/>
        <w:textAlignment w:val="auto"/>
        <w:rPr>
          <w:rFonts w:hint="eastAsia" w:ascii="微软雅黑" w:hAnsi="微软雅黑" w:eastAsia="微软雅黑" w:cs="微软雅黑"/>
          <w:b/>
          <w:bCs w:val="0"/>
          <w:sz w:val="36"/>
          <w:szCs w:val="36"/>
        </w:rPr>
      </w:pPr>
      <w:r>
        <w:rPr>
          <w:rFonts w:hint="eastAsia" w:ascii="微软雅黑" w:hAnsi="微软雅黑" w:eastAsia="微软雅黑" w:cs="微软雅黑"/>
          <w:b/>
          <w:bCs w:val="0"/>
          <w:sz w:val="36"/>
          <w:szCs w:val="36"/>
        </w:rPr>
        <w:t>编制说明</w:t>
      </w:r>
    </w:p>
    <w:p w14:paraId="4BCB56D3">
      <w:pPr>
        <w:spacing w:before="380" w:after="140" w:line="288" w:lineRule="auto"/>
        <w:ind w:left="0"/>
        <w:jc w:val="left"/>
        <w:outlineLvl w:val="0"/>
        <w:rPr>
          <w:rFonts w:hint="eastAsia" w:asciiTheme="minorEastAsia" w:hAnsiTheme="minorEastAsia" w:eastAsiaTheme="minorEastAsia" w:cstheme="minorEastAsia"/>
          <w:sz w:val="22"/>
          <w:szCs w:val="22"/>
          <w:lang w:eastAsia="zh-CN"/>
        </w:rPr>
      </w:pPr>
      <w:bookmarkStart w:id="0" w:name="heading_0"/>
      <w:r>
        <w:rPr>
          <w:rFonts w:hint="eastAsia" w:asciiTheme="minorEastAsia" w:hAnsiTheme="minorEastAsia" w:eastAsiaTheme="minorEastAsia" w:cstheme="minorEastAsia"/>
          <w:b/>
          <w:sz w:val="22"/>
          <w:szCs w:val="22"/>
        </w:rPr>
        <w:t>一、工作简况</w:t>
      </w:r>
      <w:bookmarkEnd w:id="0"/>
      <w:r>
        <w:rPr>
          <w:rFonts w:hint="eastAsia" w:asciiTheme="minorEastAsia" w:hAnsiTheme="minorEastAsia" w:eastAsiaTheme="minorEastAsia" w:cstheme="minorEastAsia"/>
          <w:b/>
          <w:sz w:val="22"/>
          <w:szCs w:val="22"/>
        </w:rPr>
        <w:t>包括任务来源、制定背景、起草过程等</w:t>
      </w:r>
    </w:p>
    <w:p w14:paraId="2FBBED93">
      <w:pPr>
        <w:spacing w:before="320" w:after="120" w:line="288" w:lineRule="auto"/>
        <w:ind w:left="0"/>
        <w:jc w:val="left"/>
        <w:outlineLvl w:val="1"/>
        <w:rPr>
          <w:rFonts w:hint="eastAsia" w:asciiTheme="minorEastAsia" w:hAnsiTheme="minorEastAsia" w:eastAsiaTheme="minorEastAsia" w:cstheme="minorEastAsia"/>
          <w:sz w:val="21"/>
          <w:szCs w:val="21"/>
        </w:rPr>
      </w:pPr>
      <w:bookmarkStart w:id="1" w:name="heading_1"/>
      <w:r>
        <w:rPr>
          <w:rFonts w:hint="eastAsia" w:asciiTheme="minorEastAsia" w:hAnsiTheme="minorEastAsia" w:eastAsiaTheme="minorEastAsia" w:cstheme="minorEastAsia"/>
          <w:b/>
          <w:sz w:val="21"/>
          <w:szCs w:val="21"/>
        </w:rPr>
        <w:t>（一）任务来源</w:t>
      </w:r>
      <w:bookmarkEnd w:id="1"/>
    </w:p>
    <w:p w14:paraId="3905F131">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渔业生产作业环境复杂多变，海上风浪、船舶碰撞等突发情况易导致人员落水事故，传统救生设备存在定位不精准、遇险信息传输不及时等缺陷，严重影响搜救效率和落水人员生存概率。为规范渔业便携式智能救生设备的技术要求，提升设备安全性能与可靠性，填补相关领域标准空白，保障渔业从业人员生命安全，厦门蓝海天信息技术有限公司联合集美大学、中国水产科学研究院东海水产研究所、福建海洋职业技术学校等单位共同发起本团体标准的制定工作，经协商一致后启动标准编制项目。</w:t>
      </w:r>
    </w:p>
    <w:p w14:paraId="1D01E483">
      <w:pPr>
        <w:spacing w:before="320" w:after="120" w:line="288" w:lineRule="auto"/>
        <w:ind w:left="0"/>
        <w:jc w:val="left"/>
        <w:outlineLvl w:val="1"/>
        <w:rPr>
          <w:rFonts w:hint="eastAsia" w:asciiTheme="minorEastAsia" w:hAnsiTheme="minorEastAsia" w:eastAsiaTheme="minorEastAsia" w:cstheme="minorEastAsia"/>
          <w:sz w:val="21"/>
          <w:szCs w:val="21"/>
        </w:rPr>
      </w:pPr>
      <w:bookmarkStart w:id="2" w:name="heading_2"/>
      <w:r>
        <w:rPr>
          <w:rFonts w:hint="eastAsia" w:asciiTheme="minorEastAsia" w:hAnsiTheme="minorEastAsia" w:eastAsiaTheme="minorEastAsia" w:cstheme="minorEastAsia"/>
          <w:b/>
          <w:sz w:val="21"/>
          <w:szCs w:val="21"/>
        </w:rPr>
        <w:t>（二）制定背景</w:t>
      </w:r>
      <w:bookmarkEnd w:id="2"/>
    </w:p>
    <w:p w14:paraId="525E9E93">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渔业是我国农业和海洋经济的重要组成部分。随着渔业产业转型升级加速，渔业船舶作业范围不断拓展，作业环境日趋复杂，海上风浪、船舶碰撞等突发安全事故时有发生，落水人员的搜救效率和生存概率与救生设备性能密切相关。在此背景下，集成 AIS-MOB 等智能模块的渔船AIS智能救生衣应运而生。这类设备融合浮力保障、定位报警、遇险信息传输等功能，能大幅提升落水人员的获救几率，已成为渔业安全生产的重要装备。当前，渔船AIS智能救生衣市场需求持续增长，相关生产企业数量逐步增加，但行业整体呈现 “重功能、轻标准” 的发展态势。</w:t>
      </w:r>
    </w:p>
    <w:p w14:paraId="5EBD8B08">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根据《中华人民共和国安全生产法》《中华人民共和国渔业法》等法律法规要求，渔业生产需强化安全防护装备配置，提升安全生产保障能力。《“十四五” 全国渔业发展规划》明确提出 “加强渔业安全应急体系建设，推广应用先进安全装备”。渔船AIS智能救生衣作为渔业从业人员的关键应急装备，其性能可靠性直接关系到人员生命安全。相较于传统救生衣，智能型产品新增定位、通信等核心功能，对设备的集成性能、环境适应性、续航能力等提出更高要求。优质的智能救生衣能为落水人员争取更长救援时间，显著降低渔业安全事故的人员伤亡率。</w:t>
      </w:r>
    </w:p>
    <w:p w14:paraId="5E216D64">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近年来，我国渔业安全装备产业逐渐向智能化、高端化转型，智能救生设备市场规模稳步扩大。但在产业快速发展的同时，也暴露出诸多问题：产品质量参差不齐，部分产品存在浮力不足、定位误差大、通讯不稳定等缺陷；市场缺乏统一的技术评价标准，企业生产无标可依；智能模块与救生衣主体的兼容性、可靠性缺乏验证标准。这些问题严重制约了产业的高质量发展，亟需通过标准化建设来规范和引导。编制《渔船AIS智能救生衣》团体标准具有迫切且现实的必要性：</w:t>
      </w:r>
    </w:p>
    <w:p w14:paraId="2C5CD9AA">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促进产业规范化发展：当前渔船AIS智能救生衣行业缺乏统一的技术标准，导致市场秩序混乱。团体标准的建立将填补这一空白，为产品研发、生产、检验等环节提供技术依据，引导企业对标生产，提升产品整体质量水平。</w:t>
      </w:r>
    </w:p>
    <w:p w14:paraId="19EBC0D3">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提升产品安全可靠性：标准通过明确浮力、充气速度、定位精度、续航能力等关键指标，能够筛选出性能达标的产品，有效避免劣质设备流入市场，切实保障渔业从业人员的生命安全。</w:t>
      </w:r>
    </w:p>
    <w:p w14:paraId="7D82CA8E">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为市场监管提供技术支撑：市场上存在的假冒伪劣、性能不达标的产品，不仅损害消费者权益，还严重威胁渔业生产安全。建立权威的团体标准，可为市场监管部门提供明确的执法依据，实现正本清源，维护行业长远发展利益。</w:t>
      </w:r>
    </w:p>
    <w:p w14:paraId="4F1BC01C">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促进产学研结合与技术推广：标准的制定过程是凝聚行业共识、整合产学研资源的过程。有助于将最新的通信技术、材料技术、智能传感技术转化为产业实践，推动整个渔业安全装备行业的技术进步。</w:t>
      </w:r>
    </w:p>
    <w:p w14:paraId="1D1F6F66">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因此，制定科学、合理的《渔船AIS智能救生衣》，对规范市场秩序、提升产品质量、强化渔业安全生产保障能力具有重要现实意义。</w:t>
      </w:r>
    </w:p>
    <w:p w14:paraId="270B3E01">
      <w:pPr>
        <w:spacing w:before="320" w:after="120" w:line="288" w:lineRule="auto"/>
        <w:ind w:left="0"/>
        <w:jc w:val="left"/>
        <w:outlineLvl w:val="1"/>
        <w:rPr>
          <w:rFonts w:hint="eastAsia" w:asciiTheme="minorEastAsia" w:hAnsiTheme="minorEastAsia" w:eastAsiaTheme="minorEastAsia" w:cstheme="minorEastAsia"/>
          <w:sz w:val="21"/>
          <w:szCs w:val="21"/>
        </w:rPr>
      </w:pPr>
      <w:bookmarkStart w:id="3" w:name="heading_3"/>
      <w:r>
        <w:rPr>
          <w:rFonts w:hint="eastAsia" w:asciiTheme="minorEastAsia" w:hAnsiTheme="minorEastAsia" w:eastAsiaTheme="minorEastAsia" w:cstheme="minorEastAsia"/>
          <w:b/>
          <w:sz w:val="21"/>
          <w:szCs w:val="21"/>
        </w:rPr>
        <w:t>（三）起草过程</w:t>
      </w:r>
      <w:bookmarkEnd w:id="3"/>
    </w:p>
    <w:p w14:paraId="3D564A93">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项目启动阶段（2025年10月-11月）：各参与单位召开项目启动会，正式成立标准起草联合工作组，明确各单位职责分工、标准制定方向与核心范围。确定厦门蓝海天信息技术有限公司、集美大学为日常联络召集单位，涂起发、扈喆为日常联络召集人。</w:t>
      </w:r>
    </w:p>
    <w:p w14:paraId="48C47189">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调研与预研阶段（2025年11月-12月）：由厦门蓝海天信息技术有限公司、集美大学牵头开展市场与用户调研，通过线上会议、现场访谈及实地考察等方式，收集市场主流智能救生设备产品信息及用户需求；由厦门蓝海天信息技术有限公司负责收集市场上主流智能救生设备样品，开展初步性能对比测试；由厦门蓝海天信息技术有限公司、福建海洋职业技术学校联合开展标准法规梳理工作，系统分析国内外现行相关标准技术内容，确保本标准的协调性和差异性。</w:t>
      </w:r>
    </w:p>
    <w:p w14:paraId="78A8A336">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标准编制阶段（2025年12月-2026年1月）：在调研与预研基础上，由厦门蓝海天信息技术有限公司牵头，各单位协同配合撰写《标准文件（草案稿）》及本《编制说明（草案稿）》。起草过程中，各单位多次召开研讨会，对标准的范围、技术要求、试验方法等核心内容进行深入论证和修改完善，形成当前草案稿。</w:t>
      </w:r>
    </w:p>
    <w:p w14:paraId="4D6FB4B7">
      <w:pPr>
        <w:spacing w:before="320" w:after="120" w:line="288" w:lineRule="auto"/>
        <w:ind w:left="0"/>
        <w:jc w:val="left"/>
        <w:outlineLvl w:val="1"/>
        <w:rPr>
          <w:rFonts w:hint="eastAsia" w:asciiTheme="minorEastAsia" w:hAnsiTheme="minorEastAsia" w:eastAsiaTheme="minorEastAsia" w:cstheme="minorEastAsia"/>
          <w:sz w:val="21"/>
          <w:szCs w:val="21"/>
        </w:rPr>
      </w:pPr>
      <w:bookmarkStart w:id="4" w:name="heading_4"/>
      <w:r>
        <w:rPr>
          <w:rFonts w:hint="eastAsia" w:asciiTheme="minorEastAsia" w:hAnsiTheme="minorEastAsia" w:eastAsiaTheme="minorEastAsia" w:cstheme="minorEastAsia"/>
          <w:b/>
          <w:sz w:val="21"/>
          <w:szCs w:val="21"/>
        </w:rPr>
        <w:t>（四）起草单位与起草人</w:t>
      </w:r>
      <w:bookmarkEnd w:id="4"/>
    </w:p>
    <w:p w14:paraId="16D68171">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起草单位：厦门蓝海天信息技术有限公司、集美大学、中国水产科学研究院东海水产研究所、福建海洋职业技术学校</w:t>
      </w:r>
    </w:p>
    <w:p w14:paraId="0064E59C">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起草人：扈喆、刘双印、石建高、郑国富、吴春旭、刘晓东、涂起发、张晓莹、卢志勇、陈含宇</w:t>
      </w:r>
    </w:p>
    <w:p w14:paraId="1A8BE3D4">
      <w:pPr>
        <w:spacing w:before="120" w:after="120" w:line="288" w:lineRule="auto"/>
        <w:ind w:lef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表1 本标准主要起草人及任务分工</w:t>
      </w:r>
    </w:p>
    <w:tbl>
      <w:tblPr>
        <w:tblStyle w:val="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2847"/>
        <w:gridCol w:w="2848"/>
        <w:gridCol w:w="2848"/>
      </w:tblGrid>
      <w:tr w14:paraId="04599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666" w:type="pct"/>
            <w:tcMar>
              <w:top w:w="60" w:type="dxa"/>
              <w:left w:w="120" w:type="dxa"/>
              <w:bottom w:w="30" w:type="dxa"/>
              <w:right w:w="120" w:type="dxa"/>
            </w:tcMar>
            <w:vAlign w:val="center"/>
          </w:tcPr>
          <w:p w14:paraId="6B3ED626">
            <w:pPr>
              <w:spacing w:before="120" w:after="120" w:line="288" w:lineRule="auto"/>
              <w:ind w:lef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姓名</w:t>
            </w:r>
          </w:p>
        </w:tc>
        <w:tc>
          <w:tcPr>
            <w:tcW w:w="1666" w:type="pct"/>
            <w:tcMar>
              <w:top w:w="60" w:type="dxa"/>
              <w:left w:w="120" w:type="dxa"/>
              <w:bottom w:w="30" w:type="dxa"/>
              <w:right w:w="120" w:type="dxa"/>
            </w:tcMar>
            <w:vAlign w:val="center"/>
          </w:tcPr>
          <w:p w14:paraId="08985C60">
            <w:pPr>
              <w:spacing w:before="120" w:after="120" w:line="288" w:lineRule="auto"/>
              <w:ind w:lef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单位</w:t>
            </w:r>
          </w:p>
        </w:tc>
        <w:tc>
          <w:tcPr>
            <w:tcW w:w="1666" w:type="pct"/>
            <w:tcMar>
              <w:top w:w="60" w:type="dxa"/>
              <w:left w:w="120" w:type="dxa"/>
              <w:bottom w:w="30" w:type="dxa"/>
              <w:right w:w="120" w:type="dxa"/>
            </w:tcMar>
            <w:vAlign w:val="center"/>
          </w:tcPr>
          <w:p w14:paraId="7B4958B5">
            <w:pPr>
              <w:spacing w:before="120" w:after="120" w:line="288" w:lineRule="auto"/>
              <w:ind w:lef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承担的工作</w:t>
            </w:r>
          </w:p>
        </w:tc>
      </w:tr>
      <w:tr w14:paraId="0C60A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666" w:type="pct"/>
            <w:tcMar>
              <w:top w:w="60" w:type="dxa"/>
              <w:left w:w="120" w:type="dxa"/>
              <w:bottom w:w="30" w:type="dxa"/>
              <w:right w:w="120" w:type="dxa"/>
            </w:tcMar>
            <w:vAlign w:val="center"/>
          </w:tcPr>
          <w:p w14:paraId="3B6B88E7">
            <w:pPr>
              <w:spacing w:before="120" w:after="120" w:line="288" w:lineRule="auto"/>
              <w:ind w:lef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扈喆</w:t>
            </w:r>
          </w:p>
        </w:tc>
        <w:tc>
          <w:tcPr>
            <w:tcW w:w="1666" w:type="pct"/>
            <w:tcMar>
              <w:top w:w="60" w:type="dxa"/>
              <w:left w:w="120" w:type="dxa"/>
              <w:bottom w:w="30" w:type="dxa"/>
              <w:right w:w="120" w:type="dxa"/>
            </w:tcMar>
            <w:vAlign w:val="center"/>
          </w:tcPr>
          <w:p w14:paraId="0FD879D5">
            <w:pPr>
              <w:spacing w:before="120" w:after="120" w:line="288" w:lineRule="auto"/>
              <w:ind w:lef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集美大学</w:t>
            </w:r>
          </w:p>
        </w:tc>
        <w:tc>
          <w:tcPr>
            <w:tcW w:w="1666" w:type="pct"/>
            <w:tcMar>
              <w:top w:w="60" w:type="dxa"/>
              <w:left w:w="120" w:type="dxa"/>
              <w:bottom w:w="30" w:type="dxa"/>
              <w:right w:w="120" w:type="dxa"/>
            </w:tcMar>
            <w:vAlign w:val="center"/>
          </w:tcPr>
          <w:p w14:paraId="43F390C2">
            <w:pPr>
              <w:spacing w:before="120" w:after="120" w:line="288" w:lineRule="auto"/>
              <w:ind w:lef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工作方案确立、标准编制</w:t>
            </w:r>
          </w:p>
        </w:tc>
      </w:tr>
      <w:tr w14:paraId="42A31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666" w:type="pct"/>
            <w:tcMar>
              <w:top w:w="60" w:type="dxa"/>
              <w:left w:w="120" w:type="dxa"/>
              <w:bottom w:w="30" w:type="dxa"/>
              <w:right w:w="120" w:type="dxa"/>
            </w:tcMar>
            <w:vAlign w:val="center"/>
          </w:tcPr>
          <w:p w14:paraId="1FF24B8A">
            <w:pPr>
              <w:spacing w:before="120" w:after="120" w:line="288" w:lineRule="auto"/>
              <w:ind w:lef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刘双印</w:t>
            </w:r>
          </w:p>
        </w:tc>
        <w:tc>
          <w:tcPr>
            <w:tcW w:w="1666" w:type="pct"/>
            <w:tcMar>
              <w:top w:w="60" w:type="dxa"/>
              <w:left w:w="120" w:type="dxa"/>
              <w:bottom w:w="30" w:type="dxa"/>
              <w:right w:w="120" w:type="dxa"/>
            </w:tcMar>
            <w:vAlign w:val="center"/>
          </w:tcPr>
          <w:p w14:paraId="2A694780">
            <w:pPr>
              <w:spacing w:before="120" w:after="120" w:line="288" w:lineRule="auto"/>
              <w:ind w:lef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厦门蓝海天信息技术有限公司</w:t>
            </w:r>
          </w:p>
        </w:tc>
        <w:tc>
          <w:tcPr>
            <w:tcW w:w="1666" w:type="pct"/>
            <w:tcMar>
              <w:top w:w="60" w:type="dxa"/>
              <w:left w:w="120" w:type="dxa"/>
              <w:bottom w:w="30" w:type="dxa"/>
              <w:right w:w="120" w:type="dxa"/>
            </w:tcMar>
            <w:vAlign w:val="center"/>
          </w:tcPr>
          <w:p w14:paraId="07D7CA4D">
            <w:pPr>
              <w:spacing w:before="120" w:after="120" w:line="288" w:lineRule="auto"/>
              <w:ind w:lef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工作方案确立</w:t>
            </w:r>
          </w:p>
        </w:tc>
      </w:tr>
      <w:tr w14:paraId="24D8C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666" w:type="pct"/>
            <w:tcMar>
              <w:top w:w="60" w:type="dxa"/>
              <w:left w:w="120" w:type="dxa"/>
              <w:bottom w:w="30" w:type="dxa"/>
              <w:right w:w="120" w:type="dxa"/>
            </w:tcMar>
            <w:vAlign w:val="center"/>
          </w:tcPr>
          <w:p w14:paraId="29EE16A1">
            <w:pPr>
              <w:spacing w:before="120" w:after="120" w:line="288" w:lineRule="auto"/>
              <w:ind w:lef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石建高</w:t>
            </w:r>
          </w:p>
        </w:tc>
        <w:tc>
          <w:tcPr>
            <w:tcW w:w="1666" w:type="pct"/>
            <w:tcMar>
              <w:top w:w="60" w:type="dxa"/>
              <w:left w:w="120" w:type="dxa"/>
              <w:bottom w:w="30" w:type="dxa"/>
              <w:right w:w="120" w:type="dxa"/>
            </w:tcMar>
            <w:vAlign w:val="center"/>
          </w:tcPr>
          <w:p w14:paraId="249D3468">
            <w:pPr>
              <w:spacing w:before="120" w:after="120" w:line="288" w:lineRule="auto"/>
              <w:ind w:lef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中国水产科学研究院东海水产研究所</w:t>
            </w:r>
          </w:p>
        </w:tc>
        <w:tc>
          <w:tcPr>
            <w:tcW w:w="1666" w:type="pct"/>
            <w:tcMar>
              <w:top w:w="60" w:type="dxa"/>
              <w:left w:w="120" w:type="dxa"/>
              <w:bottom w:w="30" w:type="dxa"/>
              <w:right w:w="120" w:type="dxa"/>
            </w:tcMar>
            <w:vAlign w:val="center"/>
          </w:tcPr>
          <w:p w14:paraId="3D82D15B">
            <w:pPr>
              <w:spacing w:before="120" w:after="120" w:line="288" w:lineRule="auto"/>
              <w:ind w:lef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提供技术支撑、行业数据及试验验证依据</w:t>
            </w:r>
          </w:p>
        </w:tc>
      </w:tr>
      <w:tr w14:paraId="325FF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666" w:type="pct"/>
            <w:tcMar>
              <w:top w:w="60" w:type="dxa"/>
              <w:left w:w="120" w:type="dxa"/>
              <w:bottom w:w="30" w:type="dxa"/>
              <w:right w:w="120" w:type="dxa"/>
            </w:tcMar>
            <w:vAlign w:val="center"/>
          </w:tcPr>
          <w:p w14:paraId="7F4B9E52">
            <w:pPr>
              <w:spacing w:before="120" w:after="120" w:line="288" w:lineRule="auto"/>
              <w:ind w:lef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郑国富</w:t>
            </w:r>
          </w:p>
        </w:tc>
        <w:tc>
          <w:tcPr>
            <w:tcW w:w="1666" w:type="pct"/>
            <w:tcMar>
              <w:top w:w="60" w:type="dxa"/>
              <w:left w:w="120" w:type="dxa"/>
              <w:bottom w:w="30" w:type="dxa"/>
              <w:right w:w="120" w:type="dxa"/>
            </w:tcMar>
            <w:vAlign w:val="center"/>
          </w:tcPr>
          <w:p w14:paraId="762A5F35">
            <w:pPr>
              <w:spacing w:before="120" w:after="120" w:line="288" w:lineRule="auto"/>
              <w:ind w:lef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集美大学</w:t>
            </w:r>
          </w:p>
        </w:tc>
        <w:tc>
          <w:tcPr>
            <w:tcW w:w="1666" w:type="pct"/>
            <w:tcMar>
              <w:top w:w="60" w:type="dxa"/>
              <w:left w:w="120" w:type="dxa"/>
              <w:bottom w:w="30" w:type="dxa"/>
              <w:right w:w="120" w:type="dxa"/>
            </w:tcMar>
            <w:vAlign w:val="center"/>
          </w:tcPr>
          <w:p w14:paraId="7B9DFF41">
            <w:pPr>
              <w:spacing w:before="120" w:after="120" w:line="288" w:lineRule="auto"/>
              <w:ind w:lef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提供技术支撑、行业数据及试验验证依据</w:t>
            </w:r>
          </w:p>
        </w:tc>
      </w:tr>
      <w:tr w14:paraId="3AD77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666" w:type="pct"/>
            <w:tcMar>
              <w:top w:w="60" w:type="dxa"/>
              <w:left w:w="120" w:type="dxa"/>
              <w:bottom w:w="30" w:type="dxa"/>
              <w:right w:w="120" w:type="dxa"/>
            </w:tcMar>
            <w:vAlign w:val="center"/>
          </w:tcPr>
          <w:p w14:paraId="24AD2068">
            <w:pPr>
              <w:spacing w:before="120" w:after="120" w:line="288" w:lineRule="auto"/>
              <w:ind w:lef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吴春旭</w:t>
            </w:r>
          </w:p>
        </w:tc>
        <w:tc>
          <w:tcPr>
            <w:tcW w:w="1666" w:type="pct"/>
            <w:tcMar>
              <w:top w:w="60" w:type="dxa"/>
              <w:left w:w="120" w:type="dxa"/>
              <w:bottom w:w="30" w:type="dxa"/>
              <w:right w:w="120" w:type="dxa"/>
            </w:tcMar>
            <w:vAlign w:val="center"/>
          </w:tcPr>
          <w:p w14:paraId="749F1A88">
            <w:pPr>
              <w:spacing w:before="120" w:after="120" w:line="288" w:lineRule="auto"/>
              <w:ind w:lef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福建海洋职业技术学校</w:t>
            </w:r>
          </w:p>
        </w:tc>
        <w:tc>
          <w:tcPr>
            <w:tcW w:w="1666" w:type="pct"/>
            <w:tcMar>
              <w:top w:w="60" w:type="dxa"/>
              <w:left w:w="120" w:type="dxa"/>
              <w:bottom w:w="30" w:type="dxa"/>
              <w:right w:w="120" w:type="dxa"/>
            </w:tcMar>
            <w:vAlign w:val="center"/>
          </w:tcPr>
          <w:p w14:paraId="26DFA7D3">
            <w:pPr>
              <w:spacing w:before="120" w:after="120" w:line="288" w:lineRule="auto"/>
              <w:ind w:lef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企业调研以及提供产品质量数据</w:t>
            </w:r>
          </w:p>
        </w:tc>
      </w:tr>
      <w:tr w14:paraId="69817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666" w:type="pct"/>
            <w:tcMar>
              <w:top w:w="60" w:type="dxa"/>
              <w:left w:w="120" w:type="dxa"/>
              <w:bottom w:w="30" w:type="dxa"/>
              <w:right w:w="120" w:type="dxa"/>
            </w:tcMar>
            <w:vAlign w:val="center"/>
          </w:tcPr>
          <w:p w14:paraId="4AD70A0C">
            <w:pPr>
              <w:spacing w:before="120" w:after="120" w:line="288" w:lineRule="auto"/>
              <w:ind w:lef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刘晓东</w:t>
            </w:r>
          </w:p>
        </w:tc>
        <w:tc>
          <w:tcPr>
            <w:tcW w:w="1666" w:type="pct"/>
            <w:tcMar>
              <w:top w:w="60" w:type="dxa"/>
              <w:left w:w="120" w:type="dxa"/>
              <w:bottom w:w="30" w:type="dxa"/>
              <w:right w:w="120" w:type="dxa"/>
            </w:tcMar>
            <w:vAlign w:val="center"/>
          </w:tcPr>
          <w:p w14:paraId="53E2318F">
            <w:pPr>
              <w:spacing w:before="120" w:after="120" w:line="288" w:lineRule="auto"/>
              <w:ind w:lef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厦门蓝海天信息技术有限公司</w:t>
            </w:r>
          </w:p>
        </w:tc>
        <w:tc>
          <w:tcPr>
            <w:tcW w:w="1666" w:type="pct"/>
            <w:tcMar>
              <w:top w:w="60" w:type="dxa"/>
              <w:left w:w="120" w:type="dxa"/>
              <w:bottom w:w="30" w:type="dxa"/>
              <w:right w:w="120" w:type="dxa"/>
            </w:tcMar>
            <w:vAlign w:val="center"/>
          </w:tcPr>
          <w:p w14:paraId="15A23B4B">
            <w:pPr>
              <w:spacing w:before="120" w:after="120" w:line="288" w:lineRule="auto"/>
              <w:ind w:lef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工作方案确立、标准编制</w:t>
            </w:r>
          </w:p>
        </w:tc>
      </w:tr>
      <w:tr w14:paraId="70989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666" w:type="pct"/>
            <w:tcMar>
              <w:top w:w="60" w:type="dxa"/>
              <w:left w:w="120" w:type="dxa"/>
              <w:bottom w:w="30" w:type="dxa"/>
              <w:right w:w="120" w:type="dxa"/>
            </w:tcMar>
            <w:vAlign w:val="center"/>
          </w:tcPr>
          <w:p w14:paraId="6318BEC8">
            <w:pPr>
              <w:spacing w:before="120" w:after="120" w:line="288" w:lineRule="auto"/>
              <w:ind w:lef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涂起发</w:t>
            </w:r>
          </w:p>
        </w:tc>
        <w:tc>
          <w:tcPr>
            <w:tcW w:w="1666" w:type="pct"/>
            <w:tcMar>
              <w:top w:w="60" w:type="dxa"/>
              <w:left w:w="120" w:type="dxa"/>
              <w:bottom w:w="30" w:type="dxa"/>
              <w:right w:w="120" w:type="dxa"/>
            </w:tcMar>
            <w:vAlign w:val="center"/>
          </w:tcPr>
          <w:p w14:paraId="5EB5D48D">
            <w:pPr>
              <w:spacing w:before="120" w:after="120" w:line="288" w:lineRule="auto"/>
              <w:ind w:lef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厦门蓝海天信息技术有限公司</w:t>
            </w:r>
          </w:p>
        </w:tc>
        <w:tc>
          <w:tcPr>
            <w:tcW w:w="1666" w:type="pct"/>
            <w:tcMar>
              <w:top w:w="60" w:type="dxa"/>
              <w:left w:w="120" w:type="dxa"/>
              <w:bottom w:w="30" w:type="dxa"/>
              <w:right w:w="120" w:type="dxa"/>
            </w:tcMar>
            <w:vAlign w:val="center"/>
          </w:tcPr>
          <w:p w14:paraId="120A9F14">
            <w:pPr>
              <w:spacing w:before="120" w:after="120" w:line="288" w:lineRule="auto"/>
              <w:ind w:lef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资料收集及试验验证</w:t>
            </w:r>
          </w:p>
        </w:tc>
      </w:tr>
      <w:tr w14:paraId="115B0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666" w:type="pct"/>
            <w:tcMar>
              <w:top w:w="60" w:type="dxa"/>
              <w:left w:w="120" w:type="dxa"/>
              <w:bottom w:w="30" w:type="dxa"/>
              <w:right w:w="120" w:type="dxa"/>
            </w:tcMar>
            <w:vAlign w:val="center"/>
          </w:tcPr>
          <w:p w14:paraId="39FEB6D3">
            <w:pPr>
              <w:spacing w:before="120" w:after="120" w:line="288" w:lineRule="auto"/>
              <w:ind w:lef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卢志勇</w:t>
            </w:r>
          </w:p>
        </w:tc>
        <w:tc>
          <w:tcPr>
            <w:tcW w:w="1666" w:type="pct"/>
            <w:tcMar>
              <w:top w:w="60" w:type="dxa"/>
              <w:left w:w="120" w:type="dxa"/>
              <w:bottom w:w="30" w:type="dxa"/>
              <w:right w:w="120" w:type="dxa"/>
            </w:tcMar>
            <w:vAlign w:val="center"/>
          </w:tcPr>
          <w:p w14:paraId="0B06887A">
            <w:pPr>
              <w:spacing w:before="120" w:after="120" w:line="288" w:lineRule="auto"/>
              <w:ind w:lef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厦门蓝海天信息技术有限公司</w:t>
            </w:r>
          </w:p>
        </w:tc>
        <w:tc>
          <w:tcPr>
            <w:tcW w:w="1666" w:type="pct"/>
            <w:tcMar>
              <w:top w:w="60" w:type="dxa"/>
              <w:left w:w="120" w:type="dxa"/>
              <w:bottom w:w="30" w:type="dxa"/>
              <w:right w:w="120" w:type="dxa"/>
            </w:tcMar>
            <w:vAlign w:val="center"/>
          </w:tcPr>
          <w:p w14:paraId="55834662">
            <w:pPr>
              <w:spacing w:before="120" w:after="120" w:line="288" w:lineRule="auto"/>
              <w:ind w:lef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资料收集及试验验证</w:t>
            </w:r>
          </w:p>
        </w:tc>
      </w:tr>
      <w:tr w14:paraId="3F68E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666" w:type="pct"/>
            <w:tcMar>
              <w:top w:w="60" w:type="dxa"/>
              <w:left w:w="120" w:type="dxa"/>
              <w:bottom w:w="30" w:type="dxa"/>
              <w:right w:w="120" w:type="dxa"/>
            </w:tcMar>
            <w:vAlign w:val="center"/>
          </w:tcPr>
          <w:p w14:paraId="1A759455">
            <w:pPr>
              <w:spacing w:before="120" w:after="120" w:line="288" w:lineRule="auto"/>
              <w:ind w:left="0"/>
              <w:jc w:val="center"/>
              <w:rPr>
                <w:rFonts w:hint="eastAsia" w:asciiTheme="minorEastAsia" w:hAnsiTheme="minorEastAsia" w:eastAsiaTheme="minorEastAsia" w:cstheme="minorEastAsia"/>
                <w:sz w:val="21"/>
                <w:szCs w:val="21"/>
              </w:rPr>
            </w:pPr>
            <w:bookmarkStart w:id="5" w:name="heading_5"/>
            <w:r>
              <w:rPr>
                <w:rFonts w:hint="eastAsia" w:asciiTheme="minorEastAsia" w:hAnsiTheme="minorEastAsia" w:eastAsiaTheme="minorEastAsia" w:cstheme="minorEastAsia"/>
                <w:sz w:val="21"/>
                <w:szCs w:val="21"/>
              </w:rPr>
              <w:t>张晓莹</w:t>
            </w:r>
          </w:p>
        </w:tc>
        <w:tc>
          <w:tcPr>
            <w:tcW w:w="1666" w:type="pct"/>
            <w:tcMar>
              <w:top w:w="60" w:type="dxa"/>
              <w:left w:w="120" w:type="dxa"/>
              <w:bottom w:w="30" w:type="dxa"/>
              <w:right w:w="120" w:type="dxa"/>
            </w:tcMar>
            <w:vAlign w:val="center"/>
          </w:tcPr>
          <w:p w14:paraId="4D9D7783">
            <w:pPr>
              <w:spacing w:before="120" w:after="120" w:line="288" w:lineRule="auto"/>
              <w:ind w:lef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集美大学</w:t>
            </w:r>
          </w:p>
        </w:tc>
        <w:tc>
          <w:tcPr>
            <w:tcW w:w="1666" w:type="pct"/>
            <w:tcMar>
              <w:top w:w="60" w:type="dxa"/>
              <w:left w:w="120" w:type="dxa"/>
              <w:bottom w:w="30" w:type="dxa"/>
              <w:right w:w="120" w:type="dxa"/>
            </w:tcMar>
            <w:vAlign w:val="center"/>
          </w:tcPr>
          <w:p w14:paraId="296F675D">
            <w:pPr>
              <w:spacing w:before="120" w:after="120" w:line="288" w:lineRule="auto"/>
              <w:ind w:lef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资料收集</w:t>
            </w:r>
          </w:p>
        </w:tc>
      </w:tr>
      <w:tr w14:paraId="5F015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666" w:type="pct"/>
            <w:tcMar>
              <w:top w:w="60" w:type="dxa"/>
              <w:left w:w="120" w:type="dxa"/>
              <w:bottom w:w="30" w:type="dxa"/>
              <w:right w:w="120" w:type="dxa"/>
            </w:tcMar>
            <w:vAlign w:val="center"/>
          </w:tcPr>
          <w:p w14:paraId="6B5FFC7C">
            <w:pPr>
              <w:spacing w:before="120" w:after="120" w:line="288" w:lineRule="auto"/>
              <w:ind w:lef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陈含宇</w:t>
            </w:r>
          </w:p>
        </w:tc>
        <w:tc>
          <w:tcPr>
            <w:tcW w:w="1666" w:type="pct"/>
            <w:tcMar>
              <w:top w:w="60" w:type="dxa"/>
              <w:left w:w="120" w:type="dxa"/>
              <w:bottom w:w="30" w:type="dxa"/>
              <w:right w:w="120" w:type="dxa"/>
            </w:tcMar>
            <w:vAlign w:val="center"/>
          </w:tcPr>
          <w:p w14:paraId="2AB33C73">
            <w:pPr>
              <w:spacing w:before="120" w:after="120" w:line="288" w:lineRule="auto"/>
              <w:ind w:lef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集美大学</w:t>
            </w:r>
          </w:p>
        </w:tc>
        <w:tc>
          <w:tcPr>
            <w:tcW w:w="1666" w:type="pct"/>
            <w:tcMar>
              <w:top w:w="60" w:type="dxa"/>
              <w:left w:w="120" w:type="dxa"/>
              <w:bottom w:w="30" w:type="dxa"/>
              <w:right w:w="120" w:type="dxa"/>
            </w:tcMar>
            <w:vAlign w:val="center"/>
          </w:tcPr>
          <w:p w14:paraId="461B2748">
            <w:pPr>
              <w:spacing w:before="120" w:after="120" w:line="288" w:lineRule="auto"/>
              <w:ind w:left="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资料收集</w:t>
            </w:r>
          </w:p>
        </w:tc>
      </w:tr>
    </w:tbl>
    <w:p w14:paraId="4AC0F64B">
      <w:pPr>
        <w:spacing w:before="380" w:after="140" w:line="288" w:lineRule="auto"/>
        <w:ind w:left="0"/>
        <w:jc w:val="left"/>
        <w:outlineLvl w:val="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sz w:val="22"/>
          <w:szCs w:val="22"/>
        </w:rPr>
        <w:t>二、团体标准编制原则、主要内容及其确定依据</w:t>
      </w:r>
      <w:bookmarkEnd w:id="5"/>
    </w:p>
    <w:p w14:paraId="6ADEA3CA">
      <w:pPr>
        <w:spacing w:before="320" w:after="120" w:line="288" w:lineRule="auto"/>
        <w:ind w:left="0"/>
        <w:jc w:val="left"/>
        <w:outlineLvl w:val="1"/>
        <w:rPr>
          <w:rFonts w:hint="eastAsia" w:asciiTheme="minorEastAsia" w:hAnsiTheme="minorEastAsia" w:eastAsiaTheme="minorEastAsia" w:cstheme="minorEastAsia"/>
          <w:sz w:val="21"/>
          <w:szCs w:val="21"/>
        </w:rPr>
      </w:pPr>
      <w:bookmarkStart w:id="6" w:name="heading_6"/>
      <w:r>
        <w:rPr>
          <w:rFonts w:hint="eastAsia" w:asciiTheme="minorEastAsia" w:hAnsiTheme="minorEastAsia" w:eastAsiaTheme="minorEastAsia" w:cstheme="minorEastAsia"/>
          <w:b/>
          <w:sz w:val="21"/>
          <w:szCs w:val="21"/>
        </w:rPr>
        <w:t>（一）编制原则</w:t>
      </w:r>
      <w:bookmarkEnd w:id="6"/>
    </w:p>
    <w:p w14:paraId="243C608C">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合规性原则：严格遵循国家相关法律法规及渔业安全生产相关规定，按照GB/T 1.1-2020《标准化工作导则 第1部分：标准的结构和编写》的要求进行编制，确保标准的合法性和规范性。</w:t>
      </w:r>
    </w:p>
    <w:p w14:paraId="631128AE">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有效性原则：立足我国渔业生产实际作业场景，充分考虑渔业船舶船员的作业特点和使用需求，聚焦设备的安全性能、操作便捷性和环境适应性，确保标准条款具有较强的可操作性和针对性。</w:t>
      </w:r>
    </w:p>
    <w:p w14:paraId="627C70F4">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科学性原则：基于市场调研、样品测试及技术分析结果，结合国内外相关先进技术成果，科学设定技术指标，确保标准的先进性和合理性。</w:t>
      </w:r>
    </w:p>
    <w:p w14:paraId="3295D001">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协调性原则：妥善处理与现行国内外相关标准的关系，重点参考L-01(202508)《救生衣（中国船级社）》、SC/T 8149-2015《渔业船舶用气胀式工作救生衣》等标准要求，确保本标准与相关标准协调一致。</w:t>
      </w:r>
    </w:p>
    <w:p w14:paraId="602962A8">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安全性与可靠性原则：以保障遇险船员生命安全为根本，确保标准所规定的技术要求和操作流程在复杂海况与应急条件下具备高度的安全性与运行可靠性，切实支撑搜救任务高效、稳定实施。</w:t>
      </w:r>
    </w:p>
    <w:p w14:paraId="44E3D0E9">
      <w:pPr>
        <w:spacing w:before="320" w:after="120" w:line="288" w:lineRule="auto"/>
        <w:ind w:left="0"/>
        <w:jc w:val="left"/>
        <w:outlineLvl w:val="1"/>
        <w:rPr>
          <w:rFonts w:hint="eastAsia" w:asciiTheme="minorEastAsia" w:hAnsiTheme="minorEastAsia" w:eastAsiaTheme="minorEastAsia" w:cstheme="minorEastAsia"/>
          <w:sz w:val="21"/>
          <w:szCs w:val="21"/>
        </w:rPr>
      </w:pPr>
      <w:bookmarkStart w:id="7" w:name="heading_7"/>
      <w:r>
        <w:rPr>
          <w:rFonts w:hint="eastAsia" w:asciiTheme="minorEastAsia" w:hAnsiTheme="minorEastAsia" w:eastAsiaTheme="minorEastAsia" w:cstheme="minorEastAsia"/>
          <w:b/>
          <w:sz w:val="21"/>
          <w:szCs w:val="21"/>
        </w:rPr>
        <w:t>（二）主要内容</w:t>
      </w:r>
      <w:bookmarkEnd w:id="7"/>
    </w:p>
    <w:p w14:paraId="691C1E3E">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本标准草案稿主要内容包括：范围、规范性引用文件、术语和定义、产品分类与型号、技术要求、试验方法、检验规则、标志、包装、运输和贮存及使用说明。核心内容如下：</w:t>
      </w:r>
    </w:p>
    <w:p w14:paraId="58E96327">
      <w:pPr>
        <w:keepNext w:val="0"/>
        <w:keepLines w:val="0"/>
        <w:pageBreakBefore w:val="0"/>
        <w:widowControl w:val="0"/>
        <w:kinsoku/>
        <w:wordWrap/>
        <w:overflowPunct/>
        <w:topLinePunct w:val="0"/>
        <w:autoSpaceDE/>
        <w:autoSpaceDN/>
        <w:bidi w:val="0"/>
        <w:adjustRightInd/>
        <w:snapToGrid/>
        <w:spacing w:before="120" w:after="120" w:line="288" w:lineRule="auto"/>
        <w:jc w:val="lef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1 范围</w:t>
      </w:r>
    </w:p>
    <w:p w14:paraId="495CE89E">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本文件规定了集成 AIS-MOB 模块的渔船智能型救生衣的产品分类与型号、技术要求、试验方法、检验规则以及标志、包装、运输、贮存和使用说明等。</w:t>
      </w:r>
    </w:p>
    <w:p w14:paraId="31DFA9BF">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本文件适用于渔业船舶船员海上作业使用的智能救生衣。</w:t>
      </w:r>
    </w:p>
    <w:p w14:paraId="4A5E851E">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编制依据：</w:t>
      </w:r>
    </w:p>
    <w:p w14:paraId="3614FC83">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（1）格式规范：严格按照 GB/T 1.1-2020《标准化工作导则 第 1 部分：标准化文件的结构和起草规则》的规定进行编写。</w:t>
      </w:r>
    </w:p>
    <w:p w14:paraId="4AB2E8C5">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（2）产品范围：立足渔业船舶船员作业安全防护的实际需求，针对传统救生设备定位不精准、遇险信息传输不及时的短板，结合智能集成救生设备的技术发展趋势，从而明确了本标准的适用范围。</w:t>
      </w:r>
    </w:p>
    <w:p w14:paraId="5EB6278A">
      <w:pPr>
        <w:keepNext w:val="0"/>
        <w:keepLines w:val="0"/>
        <w:pageBreakBefore w:val="0"/>
        <w:widowControl w:val="0"/>
        <w:kinsoku/>
        <w:wordWrap/>
        <w:overflowPunct/>
        <w:topLinePunct w:val="0"/>
        <w:autoSpaceDE/>
        <w:autoSpaceDN/>
        <w:bidi w:val="0"/>
        <w:adjustRightInd/>
        <w:snapToGrid/>
        <w:spacing w:before="120" w:after="120" w:line="288" w:lineRule="auto"/>
        <w:jc w:val="lef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2 术语和定义</w:t>
      </w:r>
    </w:p>
    <w:p w14:paraId="19C05D8D">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AIS智能救生衣</w:t>
      </w:r>
      <w:r>
        <w:rPr>
          <w:rFonts w:hint="eastAsia" w:asciiTheme="minorEastAsia" w:hAnsiTheme="minorEastAsia" w:eastAsiaTheme="minorEastAsia" w:cstheme="minorEastAsia"/>
          <w:sz w:val="21"/>
          <w:szCs w:val="21"/>
          <w:lang w:val="en-US" w:eastAsia="zh-CN"/>
        </w:rPr>
        <w:t xml:space="preserve"> ais</w:t>
      </w:r>
      <w:r>
        <w:rPr>
          <w:rFonts w:hint="eastAsia" w:asciiTheme="minorEastAsia" w:hAnsiTheme="minorEastAsia" w:eastAsiaTheme="minorEastAsia" w:cstheme="minorEastAsia"/>
          <w:sz w:val="21"/>
          <w:szCs w:val="21"/>
        </w:rPr>
        <w:t xml:space="preserve"> intelligent life jacket：集成 AIS-MOB 模块，具备救生浮态保障、GNSS 定位、AIS 遇险信息传输功能的救生衣。</w:t>
      </w:r>
    </w:p>
    <w:p w14:paraId="431D1EA7">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AIS-MOB 模块</w:t>
      </w:r>
      <w:r>
        <w:rPr>
          <w:rFonts w:hint="eastAsia" w:asciiTheme="minorEastAsia" w:hAnsiTheme="minorEastAsia" w:eastAsiaTheme="minorEastAsia" w:cstheme="minorEastAsia"/>
          <w:sz w:val="21"/>
          <w:szCs w:val="21"/>
          <w:lang w:val="en-US" w:eastAsia="zh-CN"/>
        </w:rPr>
        <w:t xml:space="preserve"> ais-mob module </w:t>
      </w:r>
      <w:r>
        <w:rPr>
          <w:rFonts w:hint="eastAsia" w:asciiTheme="minorEastAsia" w:hAnsiTheme="minorEastAsia" w:eastAsiaTheme="minorEastAsia" w:cstheme="minorEastAsia"/>
          <w:sz w:val="21"/>
          <w:szCs w:val="21"/>
        </w:rPr>
        <w:t>：符合 IMO、ITU 标准要求，具备救生浮态保障、GNSS 定位、AIS 遇险信息传输功能，人员落水后可自动/手动激活，通过 AIS 频段广播落水人员位置、时间、身份标识等遇险信息的个人落水示位设备。</w:t>
      </w:r>
    </w:p>
    <w:p w14:paraId="7CAAB401">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救生衣主体</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life jacket main body：AIS 智能救生衣中除 AIS-MOB 模块外的提供救生浮力的主要结构，简称“主体”。</w:t>
      </w:r>
    </w:p>
    <w:p w14:paraId="311A3A1B">
      <w:pPr>
        <w:keepNext w:val="0"/>
        <w:keepLines w:val="0"/>
        <w:pageBreakBefore w:val="0"/>
        <w:widowControl w:val="0"/>
        <w:kinsoku/>
        <w:wordWrap/>
        <w:overflowPunct/>
        <w:topLinePunct w:val="0"/>
        <w:autoSpaceDE/>
        <w:autoSpaceDN/>
        <w:bidi w:val="0"/>
        <w:adjustRightInd/>
        <w:snapToGrid/>
        <w:spacing w:before="120" w:after="120" w:line="288" w:lineRule="auto"/>
        <w:jc w:val="lef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3 产品分类与型号</w:t>
      </w:r>
    </w:p>
    <w:p w14:paraId="7B58ABC0">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按穿戴形式将产品分为背心式（B）、套头式（T）和腰带式（Y）三类；按主体结构形式分为气胀式（Q）和泡沫式（P）两类。规定了型号编制规则，型号格式为YC - Z - [结构类型] - [穿戴形式] - [生产代号]，明确了型号各组成部分的含义及表示方法，其中生产代号由制造商自定义（如级别、版本）。</w:t>
      </w:r>
    </w:p>
    <w:p w14:paraId="641D202F">
      <w:pPr>
        <w:keepNext w:val="0"/>
        <w:keepLines w:val="0"/>
        <w:pageBreakBefore w:val="0"/>
        <w:widowControl w:val="0"/>
        <w:kinsoku/>
        <w:wordWrap/>
        <w:overflowPunct/>
        <w:topLinePunct w:val="0"/>
        <w:autoSpaceDE/>
        <w:autoSpaceDN/>
        <w:bidi w:val="0"/>
        <w:adjustRightInd/>
        <w:snapToGrid/>
        <w:spacing w:before="120" w:after="120" w:line="288" w:lineRule="auto"/>
        <w:jc w:val="lef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4 技术要求</w:t>
      </w:r>
    </w:p>
    <w:p w14:paraId="3898B384">
      <w:pPr>
        <w:keepNext w:val="0"/>
        <w:keepLines w:val="0"/>
        <w:pageBreakBefore w:val="0"/>
        <w:widowControl w:val="0"/>
        <w:kinsoku/>
        <w:wordWrap/>
        <w:overflowPunct/>
        <w:topLinePunct w:val="0"/>
        <w:autoSpaceDE/>
        <w:autoSpaceDN/>
        <w:bidi w:val="0"/>
        <w:adjustRightInd/>
        <w:snapToGrid/>
        <w:spacing w:before="120" w:after="120" w:line="288" w:lineRule="auto"/>
        <w:ind w:left="0" w:firstLine="422"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rPr>
        <w:t>总体要求：</w:t>
      </w:r>
      <w:r>
        <w:rPr>
          <w:rFonts w:hint="eastAsia" w:asciiTheme="minorEastAsia" w:hAnsiTheme="minorEastAsia" w:eastAsiaTheme="minorEastAsia" w:cstheme="minorEastAsia"/>
          <w:sz w:val="21"/>
          <w:szCs w:val="21"/>
        </w:rPr>
        <w:t>明确智能救生衣外观、结构、环境适应性等基础要求，气胀式产品CO₂钢瓶需防护包裹、不外露，腰带式气胀产品充气前后的结构要求，以及不同类型产品需符合的基础标准（背心式、套头式气胀式符合SC/T 8149-2015，泡沫式符合L-01(202508)《救生衣（中国船级社）》）。</w:t>
      </w:r>
    </w:p>
    <w:p w14:paraId="332CC8CC">
      <w:pPr>
        <w:keepNext w:val="0"/>
        <w:keepLines w:val="0"/>
        <w:pageBreakBefore w:val="0"/>
        <w:widowControl w:val="0"/>
        <w:kinsoku/>
        <w:wordWrap/>
        <w:overflowPunct/>
        <w:topLinePunct w:val="0"/>
        <w:autoSpaceDE/>
        <w:autoSpaceDN/>
        <w:bidi w:val="0"/>
        <w:adjustRightInd/>
        <w:snapToGrid/>
        <w:spacing w:before="120" w:after="120" w:line="288" w:lineRule="auto"/>
        <w:ind w:left="0" w:firstLine="422"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rPr>
        <w:t>救生衣主体技术要求：</w:t>
      </w:r>
      <w:r>
        <w:rPr>
          <w:rFonts w:hint="eastAsia" w:asciiTheme="minorEastAsia" w:hAnsiTheme="minorEastAsia" w:eastAsiaTheme="minorEastAsia" w:cstheme="minorEastAsia"/>
          <w:sz w:val="21"/>
          <w:szCs w:val="21"/>
        </w:rPr>
        <w:t>救生衣主体基础性能需符合对应标准，气胀式应遵循 SC/T 8149-2015《渔业船舶用气胀式工作救生衣》，泡沫式应遵循 L-01(202508)《救生衣（中国船级社）》。耐燃烧、水中、耐温度性能需达标，试验过程中 AIS-MOB 模块无功能性损坏，且能正常工作；材料性能符合对应标准，气胀式救生衣带具与气囊连接在 300 N 恒定拉力下不断裂、不拉脱，反光材料设置、面积及性能符合 IMO A.658 (16) 决议，反光带粘贴牢固无起翘脱落。</w:t>
      </w:r>
    </w:p>
    <w:p w14:paraId="7FCAC2CE">
      <w:pPr>
        <w:keepNext w:val="0"/>
        <w:keepLines w:val="0"/>
        <w:pageBreakBefore w:val="0"/>
        <w:widowControl w:val="0"/>
        <w:kinsoku/>
        <w:wordWrap/>
        <w:overflowPunct/>
        <w:topLinePunct w:val="0"/>
        <w:autoSpaceDE/>
        <w:autoSpaceDN/>
        <w:bidi w:val="0"/>
        <w:adjustRightInd/>
        <w:snapToGrid/>
        <w:spacing w:before="120" w:after="120" w:line="288" w:lineRule="auto"/>
        <w:ind w:left="0" w:firstLine="422" w:firstLineChars="200"/>
        <w:jc w:val="lef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AIS-MOB 模块技术要求</w:t>
      </w:r>
    </w:p>
    <w:p w14:paraId="3DEC8750">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AIS-MOB 模块及集成性能要求的确定，主要参考 GD32-2023、ITU-R 系列标准及海洋设备通用技术规范，并在此基础上结合渔业救生衣实际使用场景做针对性强化。具体概括如下：</w:t>
      </w:r>
    </w:p>
    <w:p w14:paraId="512A9B92">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发送内容格式、电磁兼容性参考GD32-2023，确保符合救生设备搜救信标检验要求；设备标识码、工作核心参数参考ITU-R M.585、ITU-R M.1371，保障与船舶 AIS 系统的兼容性。</w:t>
      </w:r>
    </w:p>
    <w:p w14:paraId="65ABA8FD">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工作频率采用国际通用 AIS 双频道（AIS 1频道、AIS 2频道），在此基础上对辐射功率（27dBm~30dBm）、频率误差（≤±0.5kHz）做限定，平衡传输距离与功耗；定位功能支持BDS北斗卫星导航系统或GPS全球定位系统，针对性设定≤5m水平定位精度（开阔海面环境）、≤1min冷启动捕获时间，匹配海上快速搜救需求。</w:t>
      </w:r>
    </w:p>
    <w:p w14:paraId="207FF5F1">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同时明确模块组成、状态指示、电源与电池、设备标识与数据存储、电磁兼容性等要求，其中电池连续工作时间不少于24h（-20℃～+55℃），待机使用寿命不少于4年，存储定位历史数据不少于1000条。</w:t>
      </w:r>
    </w:p>
    <w:p w14:paraId="65A2C5F2">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触发机制技术要求：具备自动和手动双触发冗余设计，自动触发在人员落水后5s内激活AIS-MOB模块，气胀式同步自动充气；手动触发适配戴5mm氯丁橡胶手套单手操作，触发行程≤20mm；具备防误触发设计，触发成功率100%（-20℃～+55℃、淡水/海水环境）。</w:t>
      </w:r>
    </w:p>
    <w:p w14:paraId="7C331B94">
      <w:pPr>
        <w:keepNext w:val="0"/>
        <w:keepLines w:val="0"/>
        <w:pageBreakBefore w:val="0"/>
        <w:widowControl w:val="0"/>
        <w:kinsoku/>
        <w:wordWrap/>
        <w:overflowPunct/>
        <w:topLinePunct w:val="0"/>
        <w:autoSpaceDE/>
        <w:autoSpaceDN/>
        <w:bidi w:val="0"/>
        <w:adjustRightInd/>
        <w:snapToGrid/>
        <w:spacing w:before="120" w:after="120" w:line="288" w:lineRule="auto"/>
        <w:ind w:left="0" w:firstLine="422" w:firstLineChars="200"/>
        <w:jc w:val="lef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集成性能要求：</w:t>
      </w:r>
    </w:p>
    <w:p w14:paraId="52CA60A0">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明确AIS-MOB模块安装位置、牢固性要求，外壳防护等级不低于IPX7（符合GB/T 4208），环境适应性、功能兼容性需满足相关标准，确保模块与救生衣主体协同工作无干扰。</w:t>
      </w:r>
    </w:p>
    <w:p w14:paraId="763F52B3">
      <w:pPr>
        <w:spacing w:before="120" w:after="120" w:line="288" w:lineRule="auto"/>
        <w:ind w:left="0"/>
        <w:jc w:val="left"/>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5 试验方法</w:t>
      </w:r>
    </w:p>
    <w:p w14:paraId="7F6F6C82">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该试验方法的确定主要参考 SC/T 8149-2015、GD32-2023、MSC.81 (70)、GB/T 4208、IEC 60945 等标准，并结合渔船AIS智能救生衣的集成特性与实际作业场景，新增针对性测试项，其中，耐燃烧、水中性能等基础项目直接参考 SC/T 8149-2015、L-01(202508) 等救生衣专用标准，在此基础上同步检测 AIS-MOB 模块功能，确保主体与模块的集成兼容性；温度循环试验沿用 GD32-2023 的试验方法，结合渔业船舶航行的极端温变场景，设定 10 个循环的测试参数（-30℃保持8h、常温保持16h、65℃保持8h、常温保持16h）。</w:t>
      </w:r>
    </w:p>
    <w:p w14:paraId="5AA98DFC">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气囊材料性能验证参考 MSC.81 (70) 标准，在此基础上新增超压、充气速度、防止误充气等测试项，针对性验证气胀式救生衣的核心安全性能；浮力试验结合淡水水温实际范围，设定 10℃～40℃的测试条件。抗冲击性能通过公式计算跌落高度，结合钢瓶实际使用中的碰撞风险开展实测；CO₂钢瓶气密性试验采用60℃水中浸泡15min的方法检测。</w:t>
      </w:r>
    </w:p>
    <w:p w14:paraId="4527610C">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射频性能测试参考 GD32-2023 方法，在此基础上新增 4 个方位（每旋转90°测试1次）的辐射功率测量；定位通信、电池续航等测试结合海上搜救的实际需求，新增低温存储后的 24h 续航验证；环境适应性试验引用 GB/T 4208 的 IPX7 测试标准（1m深水中保持30min），补充 10m 投落、4.5m 跳水等场景化测试。新增安装牢固性和功能兼容性测试，验证振动、跳水场景下模块无位移，且充气系统与 AIS-MOB 模块激活无相互干扰。</w:t>
      </w:r>
    </w:p>
    <w:p w14:paraId="0197DF93">
      <w:pPr>
        <w:spacing w:before="120" w:after="120" w:line="288" w:lineRule="auto"/>
        <w:ind w:left="0"/>
        <w:jc w:val="left"/>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6 检验规则</w:t>
      </w:r>
    </w:p>
    <w:p w14:paraId="39730124">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明确检验分类（型式检验、出厂检验、进货检验），规定了各类检验的适用条件、抽样方法、检验项目及判定规则。型式检验每2年至少1次，抽样2台，检验全部技术项目；出厂检验每批不超过500台，抽样1%且不少于2台，检验外观、模块状态、报警功能等核心项目；进货检验针对气胀式配套CO₂钢瓶，每批次抽样2瓶，按相关试验方法检验。</w:t>
      </w:r>
    </w:p>
    <w:p w14:paraId="072EAD79">
      <w:pPr>
        <w:keepNext w:val="0"/>
        <w:keepLines w:val="0"/>
        <w:pageBreakBefore w:val="0"/>
        <w:widowControl w:val="0"/>
        <w:kinsoku/>
        <w:wordWrap/>
        <w:overflowPunct/>
        <w:topLinePunct w:val="0"/>
        <w:autoSpaceDE/>
        <w:autoSpaceDN/>
        <w:bidi w:val="0"/>
        <w:adjustRightInd/>
        <w:snapToGrid/>
        <w:spacing w:before="120" w:after="120" w:line="288" w:lineRule="auto"/>
        <w:jc w:val="lef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7 标志、包装、运输和贮存</w:t>
      </w:r>
    </w:p>
    <w:p w14:paraId="42AE9DDB">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规定了设备及包装的标志内容，明确了包装方式（独立透明塑料袋密封，外包装为防潮抗压纸箱）、运输过程中的防护要求（避免振动、碰撞、受潮、暴晒）及贮存环境条件（0℃～35℃、相对湿度≤85%，远离腐蚀性物质），贮存期间AIS-MOB模块需关机，每6个月检查1次电池电压。</w:t>
      </w:r>
    </w:p>
    <w:p w14:paraId="63E86788">
      <w:pPr>
        <w:spacing w:before="120" w:after="120" w:line="288" w:lineRule="auto"/>
        <w:ind w:left="0"/>
        <w:jc w:val="left"/>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8 使用说明</w:t>
      </w:r>
    </w:p>
    <w:p w14:paraId="72A4B56B">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要求产品使用说明书需明确产品结构、型号规格和性能参数、正确穿戴方法、充气触发操作、AIS-MOB模块操作、日常检查及维护保养、CO₂钢瓶和电池更换、报废条件等内容。</w:t>
      </w:r>
    </w:p>
    <w:p w14:paraId="5F8AB53B">
      <w:pPr>
        <w:spacing w:before="380" w:after="140" w:line="288" w:lineRule="auto"/>
        <w:ind w:left="0"/>
        <w:jc w:val="left"/>
        <w:outlineLvl w:val="0"/>
        <w:rPr>
          <w:rFonts w:hint="eastAsia" w:asciiTheme="minorEastAsia" w:hAnsiTheme="minorEastAsia" w:eastAsiaTheme="minorEastAsia" w:cstheme="minorEastAsia"/>
          <w:sz w:val="22"/>
          <w:szCs w:val="22"/>
        </w:rPr>
      </w:pPr>
      <w:bookmarkStart w:id="8" w:name="heading_8"/>
      <w:r>
        <w:rPr>
          <w:rFonts w:hint="eastAsia" w:asciiTheme="minorEastAsia" w:hAnsiTheme="minorEastAsia" w:eastAsiaTheme="minorEastAsia" w:cstheme="minorEastAsia"/>
          <w:b/>
          <w:sz w:val="22"/>
          <w:szCs w:val="22"/>
        </w:rPr>
        <w:t>三、试验验证的分析、综述报告，技术经济论证，预期的经济效益、社会效益和生态效益</w:t>
      </w:r>
      <w:bookmarkEnd w:id="8"/>
    </w:p>
    <w:p w14:paraId="0236FB9E">
      <w:pPr>
        <w:spacing w:before="320" w:after="120" w:line="288" w:lineRule="auto"/>
        <w:ind w:left="0"/>
        <w:jc w:val="left"/>
        <w:outlineLvl w:val="1"/>
        <w:rPr>
          <w:rFonts w:hint="eastAsia" w:asciiTheme="minorEastAsia" w:hAnsiTheme="minorEastAsia" w:eastAsiaTheme="minorEastAsia" w:cstheme="minorEastAsia"/>
          <w:sz w:val="21"/>
          <w:szCs w:val="21"/>
        </w:rPr>
      </w:pPr>
      <w:bookmarkStart w:id="9" w:name="heading_9"/>
      <w:r>
        <w:rPr>
          <w:rFonts w:hint="eastAsia" w:asciiTheme="minorEastAsia" w:hAnsiTheme="minorEastAsia" w:eastAsiaTheme="minorEastAsia" w:cstheme="minorEastAsia"/>
          <w:b/>
          <w:sz w:val="21"/>
          <w:szCs w:val="21"/>
        </w:rPr>
        <w:t>（一）试验验证分析与综述</w:t>
      </w:r>
      <w:bookmarkEnd w:id="9"/>
    </w:p>
    <w:p w14:paraId="5C39B23F">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为确保标准技术要求的科学性和可行性，起草工作组开展了针对性的试验验证工作。选取市场上3类不同穿戴形式（背心式、套头式、腰带式）、2类主体结构（气胀式、泡沫式）的主流智能救生设备样品，按照本标准规定的试验方法，对设备的外观、结构、浮力、充气速度、耐燃烧性能、温度适应性、AIS-MOB模块射频性能及定位精度等关键指标进行测试。</w:t>
      </w:r>
    </w:p>
    <w:p w14:paraId="04C18C18">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试验结果显示：大部分样品基本能满足浮力、充气速度、定位精度等核心要求，但部分样品存在反光带面积不足、哨笛声响不达标、AIS-MOB模块定位精度偏差较大、模块安装不牢固等问题。基于试验结果，对相关技术指标进行了优化调整，确保标准要求既符合技术发展水平，又能有效筛选合格产品。同时，针对集成性能开展专项试验，验证了AIS-MOB模块与救生衣主体的兼容性，确保两者协同工作无相互干扰，为标准中集成性能要求的制定提供了坚实的数据支撑。</w:t>
      </w:r>
    </w:p>
    <w:p w14:paraId="2F1CCC69">
      <w:pPr>
        <w:spacing w:before="320" w:after="120" w:line="288" w:lineRule="auto"/>
        <w:ind w:left="0"/>
        <w:jc w:val="left"/>
        <w:outlineLvl w:val="1"/>
        <w:rPr>
          <w:rFonts w:hint="eastAsia" w:asciiTheme="minorEastAsia" w:hAnsiTheme="minorEastAsia" w:eastAsiaTheme="minorEastAsia" w:cstheme="minorEastAsia"/>
          <w:sz w:val="21"/>
          <w:szCs w:val="21"/>
        </w:rPr>
      </w:pPr>
      <w:bookmarkStart w:id="10" w:name="heading_10"/>
      <w:r>
        <w:rPr>
          <w:rFonts w:hint="eastAsia" w:asciiTheme="minorEastAsia" w:hAnsiTheme="minorEastAsia" w:eastAsiaTheme="minorEastAsia" w:cstheme="minorEastAsia"/>
          <w:b/>
          <w:sz w:val="21"/>
          <w:szCs w:val="21"/>
        </w:rPr>
        <w:t>（二）技术经济论证</w:t>
      </w:r>
      <w:bookmarkEnd w:id="10"/>
    </w:p>
    <w:p w14:paraId="5DA7B7B3">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技术可行性：本标准规定的技术要求均基于现有成熟技术，所涉及的浮力测试、充气速度测试、射频性能测试等试验方法均有对应的标准设备和检测手段，相关生产企业可通过现有生产工艺优化、零部件选型升级等方式满足标准要求，技术层面具备较强的可行性。</w:t>
      </w:r>
    </w:p>
    <w:p w14:paraId="4661C928">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经济性分析：从生产端看，标准的实施将引导企业规范生产流程，优化产品设计，通过规模化生产和技术改进可降低额外成本投入；从使用端看，符合标准的智能救生设备能提升搜救效率，减少落水人员伤亡，降低因事故造成的经济损失；从行业端看，标准的实施将淘汰落后产能，规范市场秩序，避免低价劣质产品的恶性竞争，促进渔业安全装备产业健康发展。</w:t>
      </w:r>
    </w:p>
    <w:p w14:paraId="6353920E">
      <w:pPr>
        <w:spacing w:before="320" w:after="120" w:line="288" w:lineRule="auto"/>
        <w:ind w:left="0"/>
        <w:jc w:val="left"/>
        <w:outlineLvl w:val="1"/>
        <w:rPr>
          <w:rFonts w:hint="eastAsia" w:asciiTheme="minorEastAsia" w:hAnsiTheme="minorEastAsia" w:eastAsiaTheme="minorEastAsia" w:cstheme="minorEastAsia"/>
          <w:sz w:val="21"/>
          <w:szCs w:val="21"/>
        </w:rPr>
      </w:pPr>
      <w:bookmarkStart w:id="11" w:name="heading_11"/>
      <w:r>
        <w:rPr>
          <w:rFonts w:hint="eastAsia" w:asciiTheme="minorEastAsia" w:hAnsiTheme="minorEastAsia" w:eastAsiaTheme="minorEastAsia" w:cstheme="minorEastAsia"/>
          <w:b/>
          <w:sz w:val="21"/>
          <w:szCs w:val="21"/>
        </w:rPr>
        <w:t>（三）预期效益</w:t>
      </w:r>
      <w:bookmarkEnd w:id="11"/>
    </w:p>
    <w:p w14:paraId="79E1D5C0">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经济效益：一是降低渔业生产安全事故损失，通过提升救生设备性能，提高落水人员存活率，减少因人员伤亡和财产损失带来的经济负担；二是推动渔业安全装备产业升级，引导企业加大技术研发投入，提升产品附加值，促进相关产业发展；三是降低监管成本，为市场监管提供明确的技术依据，提高监管效率。</w:t>
      </w:r>
    </w:p>
    <w:p w14:paraId="48CC9BBC">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社会效益：核心是保障渔业从业人员生命安全，提升渔业安全生产水平，减少安全事故引发的社会矛盾；同时，标准的实施将增强渔业从业人员的安全防护意识，推动渔业产业安全、健康、可持续发展，维护社会和谐稳定。</w:t>
      </w:r>
    </w:p>
    <w:p w14:paraId="6F472FDC">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生态效益：本标准未直接涉及生态环境保护相关指标，但通过规范救生设备生产和使用，可减少因设备故障或失效导致人员落水后，可能产生的海上搜救作业对海洋环境的潜在影响；同时，引导企业采用环保材料和工艺，间接推动渔业产业绿色发展。</w:t>
      </w:r>
    </w:p>
    <w:p w14:paraId="29F08768">
      <w:pPr>
        <w:spacing w:before="380" w:after="140" w:line="288" w:lineRule="auto"/>
        <w:ind w:left="0"/>
        <w:jc w:val="left"/>
        <w:outlineLvl w:val="0"/>
        <w:rPr>
          <w:rFonts w:hint="eastAsia" w:asciiTheme="minorEastAsia" w:hAnsiTheme="minorEastAsia" w:eastAsiaTheme="minorEastAsia" w:cstheme="minorEastAsia"/>
          <w:sz w:val="22"/>
          <w:szCs w:val="22"/>
        </w:rPr>
      </w:pPr>
      <w:bookmarkStart w:id="12" w:name="heading_12"/>
      <w:r>
        <w:rPr>
          <w:rFonts w:hint="eastAsia" w:asciiTheme="minorEastAsia" w:hAnsiTheme="minorEastAsia" w:eastAsiaTheme="minorEastAsia" w:cstheme="minorEastAsia"/>
          <w:b/>
          <w:sz w:val="22"/>
          <w:szCs w:val="22"/>
        </w:rPr>
        <w:t>四、与国际、国外同类标准技术内容的对比情况</w:t>
      </w:r>
      <w:bookmarkEnd w:id="12"/>
    </w:p>
    <w:p w14:paraId="57E711D9">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本标准主要参考了ITU-R M.585《水上移动业务标识的指配和使用》、ITU-R M.1371《在VHF海上移动频段采用时分多址（TDMA）技术的通用船载自动识别系统（AIS）的技术特性》、MSC.81(70)《经修正的救生设备试验建议》、MSC.333(90)《救生设备自动识别系统人员落水示位标(AIS MOB)性能标准》等国际标准，与国际同类标准的对比情况如下：</w:t>
      </w:r>
    </w:p>
    <w:p w14:paraId="707C021E">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共性方面：在救生设备的基础安全要求（如浮力、耐燃烧性能、温度适应性）、AIS模块的射频性能（工作频率、辐射功率）、定位功能等核心技术指标上，本标准与国际标准保持协调一致，确保产品具备国际通用性和安全性。例如，参考ITU-R M.1371规定了AIS-MOB模块的消息传输格式和频率，参考MSC.333(90)明确AIS-MOB模块的性能要求。</w:t>
      </w:r>
    </w:p>
    <w:p w14:paraId="6A4C7AB0">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差异与优化方面：一是结合我国渔业生产实际场景，增设了腰带式产品分类，补充了对应的结构要求，更贴合我国渔业船舶船员的作业习惯；二是强化了设备的适配性要求，明确设备尺寸需适配各种体形成人（身高155cm～185cm、体重45kg～90kg），并要求配备调节部件，提升使用便捷性；三是针对我国北斗卫星导航系统的广泛应用，明确要求GNSS模块支持BDS北斗卫星导航系统或GPS全球定位系统，提升定位的可靠性和覆盖范围；四是细化了检验规则，增加了进货检验要求，强化对关键零部件（如CO₂钢瓶）的质量管控，更符合我国产业监管实际需求。</w:t>
      </w:r>
    </w:p>
    <w:p w14:paraId="2F08EB09">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目前未发现与本标准直接对应的国外同类团体标准，本标准在借鉴国际先进标准技术内容的基础上，充分考虑了我国渔业产业的特殊性，技术要求更具针对性和适用性。</w:t>
      </w:r>
    </w:p>
    <w:p w14:paraId="5BB198B4">
      <w:pPr>
        <w:spacing w:before="380" w:after="140" w:line="288" w:lineRule="auto"/>
        <w:ind w:left="0"/>
        <w:jc w:val="left"/>
        <w:outlineLvl w:val="0"/>
        <w:rPr>
          <w:rFonts w:hint="eastAsia" w:asciiTheme="minorEastAsia" w:hAnsiTheme="minorEastAsia" w:eastAsiaTheme="minorEastAsia" w:cstheme="minorEastAsia"/>
          <w:sz w:val="22"/>
          <w:szCs w:val="22"/>
        </w:rPr>
      </w:pPr>
      <w:bookmarkStart w:id="13" w:name="heading_13"/>
      <w:r>
        <w:rPr>
          <w:rFonts w:hint="eastAsia" w:asciiTheme="minorEastAsia" w:hAnsiTheme="minorEastAsia" w:eastAsiaTheme="minorEastAsia" w:cstheme="minorEastAsia"/>
          <w:b/>
          <w:sz w:val="22"/>
          <w:szCs w:val="22"/>
        </w:rPr>
        <w:t>五、以国际标准为基础的起草情况，以及是否合规引用或者采用国际国外标准，并说明未采用国际标准的原因</w:t>
      </w:r>
      <w:bookmarkEnd w:id="13"/>
    </w:p>
    <w:p w14:paraId="163546DC">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本标准以国际相关先进标准为重要参考基础，在起草过程中合规引用了ITU-R M.585、ITU-R M.1371、MSC.81(70)、MSC.333(90)等国际标准，具体引用方式符合GB/T 20000.2《标准化工作指南 第2部分：采用国际标准》的要求。</w:t>
      </w:r>
    </w:p>
    <w:p w14:paraId="074B0B53">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对于国际标准中未覆盖的内容，如针对渔船AIS智能救生衣的集成性能要求、腰带式产品分类及技术要求、适配我国渔业作业场景的尺寸调节要求等，本标准结合我国实际需求进行了补充和完善，并非未采用国际标准，而是在采用国际标准核心技术内容的基础上，进行了适应性优化，以更好地满足我国渔业安全生产的实际需求。</w:t>
      </w:r>
    </w:p>
    <w:p w14:paraId="59EC4877">
      <w:pPr>
        <w:spacing w:before="380" w:after="140" w:line="288" w:lineRule="auto"/>
        <w:ind w:left="0"/>
        <w:jc w:val="left"/>
        <w:outlineLvl w:val="0"/>
        <w:rPr>
          <w:rFonts w:hint="eastAsia" w:asciiTheme="minorEastAsia" w:hAnsiTheme="minorEastAsia" w:eastAsiaTheme="minorEastAsia" w:cstheme="minorEastAsia"/>
          <w:sz w:val="22"/>
          <w:szCs w:val="22"/>
        </w:rPr>
      </w:pPr>
      <w:bookmarkStart w:id="14" w:name="heading_14"/>
      <w:r>
        <w:rPr>
          <w:rFonts w:hint="eastAsia" w:asciiTheme="minorEastAsia" w:hAnsiTheme="minorEastAsia" w:eastAsiaTheme="minorEastAsia" w:cstheme="minorEastAsia"/>
          <w:b/>
          <w:sz w:val="22"/>
          <w:szCs w:val="22"/>
        </w:rPr>
        <w:t>六、与有关法律、行政法规及相关标准的关系</w:t>
      </w:r>
      <w:bookmarkEnd w:id="14"/>
    </w:p>
    <w:p w14:paraId="59FADA22">
      <w:pPr>
        <w:keepNext w:val="0"/>
        <w:keepLines w:val="0"/>
        <w:pageBreakBefore w:val="0"/>
        <w:widowControl w:val="0"/>
        <w:kinsoku/>
        <w:wordWrap/>
        <w:overflowPunct/>
        <w:topLinePunct w:val="0"/>
        <w:autoSpaceDE/>
        <w:autoSpaceDN/>
        <w:bidi w:val="0"/>
        <w:adjustRightInd/>
        <w:snapToGrid/>
        <w:spacing w:before="320" w:after="120" w:line="288" w:lineRule="auto"/>
        <w:jc w:val="left"/>
        <w:textAlignment w:val="auto"/>
        <w:outlineLvl w:val="1"/>
        <w:rPr>
          <w:rFonts w:hint="eastAsia" w:asciiTheme="minorEastAsia" w:hAnsiTheme="minorEastAsia" w:eastAsiaTheme="minorEastAsia" w:cstheme="minorEastAsia"/>
          <w:sz w:val="21"/>
          <w:szCs w:val="21"/>
        </w:rPr>
      </w:pPr>
      <w:bookmarkStart w:id="15" w:name="heading_15"/>
      <w:r>
        <w:rPr>
          <w:rFonts w:hint="eastAsia" w:asciiTheme="minorEastAsia" w:hAnsiTheme="minorEastAsia" w:eastAsiaTheme="minorEastAsia" w:cstheme="minorEastAsia"/>
          <w:b/>
          <w:sz w:val="21"/>
          <w:szCs w:val="21"/>
        </w:rPr>
        <w:t>（一）与法律、行政法规的关系</w:t>
      </w:r>
      <w:bookmarkEnd w:id="15"/>
    </w:p>
    <w:p w14:paraId="080804F0">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标准严格遵循《中华人民共和国渔业法》《中华人民共和国安全生产法》《中华人民共和国标准化法》等相关法律、行政法规的规定，聚焦渔业安全生产领域救生设备的技术规范，旨在提升渔业生产安全保障水平，与相关法律、行政法规的立法精神和要求保持一致，无任何冲突。</w:t>
      </w:r>
    </w:p>
    <w:p w14:paraId="44E79E4E">
      <w:pPr>
        <w:spacing w:before="320" w:after="120" w:line="288" w:lineRule="auto"/>
        <w:ind w:left="0"/>
        <w:jc w:val="left"/>
        <w:outlineLvl w:val="1"/>
        <w:rPr>
          <w:rFonts w:hint="eastAsia" w:asciiTheme="minorEastAsia" w:hAnsiTheme="minorEastAsia" w:eastAsiaTheme="minorEastAsia" w:cstheme="minorEastAsia"/>
          <w:sz w:val="21"/>
          <w:szCs w:val="21"/>
        </w:rPr>
      </w:pPr>
      <w:bookmarkStart w:id="16" w:name="heading_16"/>
      <w:r>
        <w:rPr>
          <w:rFonts w:hint="eastAsia" w:asciiTheme="minorEastAsia" w:hAnsiTheme="minorEastAsia" w:eastAsiaTheme="minorEastAsia" w:cstheme="minorEastAsia"/>
          <w:b/>
          <w:sz w:val="21"/>
          <w:szCs w:val="21"/>
        </w:rPr>
        <w:t>（二）与相关标准的关系</w:t>
      </w:r>
      <w:bookmarkEnd w:id="16"/>
    </w:p>
    <w:p w14:paraId="4293A03A">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本标准与国内相关标准协调互补，具体关系如下：</w:t>
      </w:r>
    </w:p>
    <w:p w14:paraId="0EE11E36">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与SC/T 8149-2015《渔业船舶用气胀式工作救生衣》和L-01(202508)《救生衣（中国船级社）》的关系：两者是本标准的重要参考基础，本标准在这两项标准关于传统救生衣技术要求和检验要求的基础上，新增了AIS-MOB模块相关的智能技术要求，拓展了产品分类（新增腰带式），适用于更具智能化的渔业救生设备，形成了对传统标准的补充和升级。</w:t>
      </w:r>
    </w:p>
    <w:p w14:paraId="08664006">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与GD32-2023《救生设备搜救信标检验指南（中国船级社）》的关系：本标准参考了该指南中关于救生设备搜救信标的检验方法，结合渔船AIS智能救生衣的集成特性，制定了对应的试验方法和检验规则，确保标准的可操作性和检验结果的准确性。</w:t>
      </w:r>
    </w:p>
    <w:p w14:paraId="3A5A9C31">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与其他相关标准的关系：本标准还参考了GB/T 4208《外壳防护等级（IP代码）》、IEC 60945《海上导航和无线电通信设备及系统 一般要求、试验方法和要求的试验结果》、IEC 61000-6-1、IEC 61000-6-3等标准的相关要求，确保标准在标志、包装、使用说明、电磁兼容性等方面的规范性，与相关标准协调一致。</w:t>
      </w:r>
    </w:p>
    <w:p w14:paraId="35D133D6">
      <w:pPr>
        <w:spacing w:before="380" w:after="140" w:line="288" w:lineRule="auto"/>
        <w:ind w:left="0"/>
        <w:jc w:val="left"/>
        <w:outlineLvl w:val="0"/>
        <w:rPr>
          <w:rFonts w:hint="eastAsia" w:asciiTheme="minorEastAsia" w:hAnsiTheme="minorEastAsia" w:eastAsiaTheme="minorEastAsia" w:cstheme="minorEastAsia"/>
          <w:sz w:val="22"/>
          <w:szCs w:val="22"/>
        </w:rPr>
      </w:pPr>
      <w:bookmarkStart w:id="17" w:name="heading_17"/>
      <w:r>
        <w:rPr>
          <w:rFonts w:hint="eastAsia" w:asciiTheme="minorEastAsia" w:hAnsiTheme="minorEastAsia" w:eastAsiaTheme="minorEastAsia" w:cstheme="minorEastAsia"/>
          <w:b/>
          <w:sz w:val="22"/>
          <w:szCs w:val="22"/>
        </w:rPr>
        <w:t>七、重大分歧意见的处理经过和依据</w:t>
      </w:r>
      <w:bookmarkEnd w:id="17"/>
    </w:p>
    <w:p w14:paraId="78AED538">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标准草案稿编制过程中，起草工作组多次组织各参与单位及相关专家召开研讨会，对标准的范围、产品分类、关键技术指标等内容进行充分论证和协商。期间，主要针对“是否增设腰带式产品分类”“AIS-MOB模块定位精度指标设定”等问题进行了讨论，经各方充分沟通后达成一致意见，未产生重大分歧意见。</w:t>
      </w:r>
    </w:p>
    <w:p w14:paraId="2A021F05">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针对“是否增设腰带式产品分类”的讨论，部分单位认为现有背心式、套头式已能满足大部分使用需求，增设腰带式可能增加标准复杂度；但多数单位结合调研情况提出，腰带式设备更轻便，适配部分渔业作业场景（如甲板作业）的使用需求，市场已有相关产品，增设该分类更贴合实际。经综合评估市场需求和技术可行性，最终确定增设腰带式产品分类，并补充对应的技术要求。</w:t>
      </w:r>
    </w:p>
    <w:p w14:paraId="4BA13A79">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针对“AIS-MOB模块定位精度指标设定”的讨论，各方结合测试数据和渔业搜救实际需求，最终确定水平定位精度≤5m（开阔海面环境），既符合现有技术水平，又能满足搜救工作的基本要求。</w:t>
      </w:r>
    </w:p>
    <w:p w14:paraId="44169DA8">
      <w:pPr>
        <w:spacing w:before="380" w:after="140" w:line="288" w:lineRule="auto"/>
        <w:ind w:left="0"/>
        <w:jc w:val="left"/>
        <w:outlineLvl w:val="0"/>
        <w:rPr>
          <w:rFonts w:hint="eastAsia" w:asciiTheme="minorEastAsia" w:hAnsiTheme="minorEastAsia" w:eastAsiaTheme="minorEastAsia" w:cstheme="minorEastAsia"/>
          <w:sz w:val="22"/>
          <w:szCs w:val="22"/>
        </w:rPr>
      </w:pPr>
      <w:bookmarkStart w:id="18" w:name="heading_18"/>
      <w:r>
        <w:rPr>
          <w:rFonts w:hint="eastAsia" w:asciiTheme="minorEastAsia" w:hAnsiTheme="minorEastAsia" w:eastAsiaTheme="minorEastAsia" w:cstheme="minorEastAsia"/>
          <w:b/>
          <w:sz w:val="22"/>
          <w:szCs w:val="22"/>
        </w:rPr>
        <w:t>八、涉及专利的有关说明</w:t>
      </w:r>
      <w:bookmarkEnd w:id="18"/>
    </w:p>
    <w:p w14:paraId="2980EEE6">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本标准起草过程中，起草工作组对相关技术内容进行了专利排查，截至本草案稿完成之日，未发现标准内容涉及任何专利（包括发明、实用新型和外观设计专利）。</w:t>
      </w:r>
    </w:p>
    <w:p w14:paraId="30D57DF8">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后续若有单位或个人发现本标准内容涉及专利，应及时向标准起草工作组提出，并提供相关专利证明材料，由起草工作组组织各方协商处理，确保标准的实施不会引发专利侵权纠纷。</w:t>
      </w:r>
    </w:p>
    <w:p w14:paraId="3A38FE17">
      <w:pPr>
        <w:spacing w:before="380" w:after="140" w:line="288" w:lineRule="auto"/>
        <w:ind w:left="0"/>
        <w:jc w:val="left"/>
        <w:outlineLvl w:val="0"/>
        <w:rPr>
          <w:rFonts w:hint="eastAsia" w:asciiTheme="minorEastAsia" w:hAnsiTheme="minorEastAsia" w:eastAsiaTheme="minorEastAsia" w:cstheme="minorEastAsia"/>
          <w:sz w:val="22"/>
          <w:szCs w:val="22"/>
        </w:rPr>
      </w:pPr>
      <w:bookmarkStart w:id="19" w:name="heading_19"/>
      <w:r>
        <w:rPr>
          <w:rFonts w:hint="eastAsia" w:asciiTheme="minorEastAsia" w:hAnsiTheme="minorEastAsia" w:eastAsiaTheme="minorEastAsia" w:cstheme="minorEastAsia"/>
          <w:b/>
          <w:sz w:val="22"/>
          <w:szCs w:val="22"/>
        </w:rPr>
        <w:t>九、实施团体标准的要求，以及组织措施、技术措施、过渡期和实施日期的建议等措施建议</w:t>
      </w:r>
      <w:bookmarkEnd w:id="19"/>
    </w:p>
    <w:p w14:paraId="407EA61D">
      <w:pPr>
        <w:spacing w:before="320" w:after="120" w:line="288" w:lineRule="auto"/>
        <w:ind w:left="0"/>
        <w:jc w:val="left"/>
        <w:outlineLvl w:val="1"/>
        <w:rPr>
          <w:rFonts w:hint="eastAsia" w:asciiTheme="minorEastAsia" w:hAnsiTheme="minorEastAsia" w:eastAsiaTheme="minorEastAsia" w:cstheme="minorEastAsia"/>
          <w:sz w:val="21"/>
          <w:szCs w:val="21"/>
        </w:rPr>
      </w:pPr>
      <w:bookmarkStart w:id="20" w:name="heading_20"/>
      <w:r>
        <w:rPr>
          <w:rFonts w:hint="eastAsia" w:asciiTheme="minorEastAsia" w:hAnsiTheme="minorEastAsia" w:eastAsiaTheme="minorEastAsia" w:cstheme="minorEastAsia"/>
          <w:b/>
          <w:sz w:val="21"/>
          <w:szCs w:val="21"/>
        </w:rPr>
        <w:t>（一）实施要求</w:t>
      </w:r>
      <w:bookmarkEnd w:id="20"/>
    </w:p>
    <w:p w14:paraId="43CE6668">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  本标准实施后，相关生产企业应严格按照标准要求组织生产，确保产品符合标准规定的各项技术指标；</w:t>
      </w:r>
    </w:p>
    <w:p w14:paraId="6FB57C84">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  渔业船舶运营单位应优先选用符合本标准的渔船AIS智能救生设备，提升渔业生产安全保障水平；</w:t>
      </w:r>
    </w:p>
    <w:p w14:paraId="3A215093">
      <w:pPr>
        <w:spacing w:before="320" w:after="120" w:line="288" w:lineRule="auto"/>
        <w:ind w:left="0"/>
        <w:jc w:val="left"/>
        <w:outlineLvl w:val="1"/>
        <w:rPr>
          <w:rFonts w:hint="eastAsia" w:asciiTheme="minorEastAsia" w:hAnsiTheme="minorEastAsia" w:eastAsiaTheme="minorEastAsia" w:cstheme="minorEastAsia"/>
          <w:sz w:val="21"/>
          <w:szCs w:val="21"/>
        </w:rPr>
      </w:pPr>
      <w:bookmarkStart w:id="21" w:name="heading_21"/>
      <w:r>
        <w:rPr>
          <w:rFonts w:hint="eastAsia" w:asciiTheme="minorEastAsia" w:hAnsiTheme="minorEastAsia" w:eastAsiaTheme="minorEastAsia" w:cstheme="minorEastAsia"/>
          <w:b/>
          <w:sz w:val="21"/>
          <w:szCs w:val="21"/>
        </w:rPr>
        <w:t>（二）组</w:t>
      </w:r>
      <w:bookmarkStart w:id="25" w:name="_GoBack"/>
      <w:bookmarkEnd w:id="25"/>
      <w:r>
        <w:rPr>
          <w:rFonts w:hint="eastAsia" w:asciiTheme="minorEastAsia" w:hAnsiTheme="minorEastAsia" w:eastAsiaTheme="minorEastAsia" w:cstheme="minorEastAsia"/>
          <w:b/>
          <w:sz w:val="21"/>
          <w:szCs w:val="21"/>
        </w:rPr>
        <w:t>织措施</w:t>
      </w:r>
      <w:bookmarkEnd w:id="21"/>
    </w:p>
    <w:p w14:paraId="03A1DDC9">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成立标准实施推进小组：由各起草单位牵头，联合相关行业协会、监管部门、生产企业等组成推进小组，负责标准实施的组织协调、宣传培训及跟踪评估工作。</w:t>
      </w:r>
    </w:p>
    <w:p w14:paraId="50DDA31A">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开展宣传培训：通过行业会议、专题培训、线上宣传等多种方式，向生产企业、渔业运营单位、监管部门等解读标准内容，确保相关单位准确理解和执行标准。</w:t>
      </w:r>
    </w:p>
    <w:p w14:paraId="0F570A97">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建立反馈机制：畅通标准实施过程中的意见反馈渠道，收集相关单位在标准实施过程中遇到的问题，及时组织研究处理，必要时启动标准修订工作。</w:t>
      </w:r>
    </w:p>
    <w:p w14:paraId="38804CF9">
      <w:pPr>
        <w:spacing w:before="320" w:after="120" w:line="288" w:lineRule="auto"/>
        <w:ind w:left="0"/>
        <w:jc w:val="left"/>
        <w:outlineLvl w:val="1"/>
        <w:rPr>
          <w:rFonts w:hint="eastAsia" w:asciiTheme="minorEastAsia" w:hAnsiTheme="minorEastAsia" w:eastAsiaTheme="minorEastAsia" w:cstheme="minorEastAsia"/>
          <w:sz w:val="21"/>
          <w:szCs w:val="21"/>
        </w:rPr>
      </w:pPr>
      <w:bookmarkStart w:id="22" w:name="heading_22"/>
      <w:r>
        <w:rPr>
          <w:rFonts w:hint="eastAsia" w:asciiTheme="minorEastAsia" w:hAnsiTheme="minorEastAsia" w:eastAsiaTheme="minorEastAsia" w:cstheme="minorEastAsia"/>
          <w:b/>
          <w:sz w:val="21"/>
          <w:szCs w:val="21"/>
        </w:rPr>
        <w:t>（三）技术措施</w:t>
      </w:r>
      <w:bookmarkEnd w:id="22"/>
    </w:p>
    <w:p w14:paraId="171138C3">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完善检测能力：支持具备条件的检测机构按照本标准要求完善相关检测设备和技术手段，提升对渔船AIS智能救生设备的检测能力，为标准实施提供技术支撑。</w:t>
      </w:r>
    </w:p>
    <w:p w14:paraId="4602EF5B">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开展技术指导：组织行业专家为生产企业提供技术指导，帮助企业优化生产工艺，解决标准实施过程中遇到的技术难题，确保产品质量符合标准要求。</w:t>
      </w:r>
    </w:p>
    <w:p w14:paraId="3051A3C8">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推广先进技术：鼓励企业加大技术研发投入，推广应用先进的材料、工艺和智能技术，提升产品性能，推动行业技术进步。</w:t>
      </w:r>
    </w:p>
    <w:p w14:paraId="7879EBAA">
      <w:pPr>
        <w:spacing w:before="320" w:after="120" w:line="288" w:lineRule="auto"/>
        <w:ind w:left="0"/>
        <w:jc w:val="left"/>
        <w:outlineLvl w:val="1"/>
        <w:rPr>
          <w:rFonts w:hint="eastAsia" w:asciiTheme="minorEastAsia" w:hAnsiTheme="minorEastAsia" w:eastAsiaTheme="minorEastAsia" w:cstheme="minorEastAsia"/>
          <w:sz w:val="21"/>
          <w:szCs w:val="21"/>
        </w:rPr>
      </w:pPr>
      <w:bookmarkStart w:id="23" w:name="heading_23"/>
      <w:r>
        <w:rPr>
          <w:rFonts w:hint="eastAsia" w:asciiTheme="minorEastAsia" w:hAnsiTheme="minorEastAsia" w:eastAsiaTheme="minorEastAsia" w:cstheme="minorEastAsia"/>
          <w:b/>
          <w:sz w:val="21"/>
          <w:szCs w:val="21"/>
        </w:rPr>
        <w:t>（四）过渡期和实施日期建议</w:t>
      </w:r>
      <w:bookmarkEnd w:id="23"/>
    </w:p>
    <w:p w14:paraId="29DEBD4E">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建议本标准发布后设置6个月的过渡期，过渡期内，现有生产企业可逐步完成生产工艺调整和产品升级，确保产品符合本标准要求；过渡期结束后，正式实施本标准。</w:t>
      </w:r>
    </w:p>
    <w:p w14:paraId="7FF5BBA2">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建议本标准的实施日期为2026年</w:t>
      </w:r>
      <w:r>
        <w:rPr>
          <w:rFonts w:hint="eastAsia" w:asciiTheme="minorEastAsia" w:hAnsiTheme="minorEastAsia" w:eastAsiaTheme="minorEastAsia" w:cstheme="minorEastAsia"/>
          <w:sz w:val="21"/>
          <w:szCs w:val="21"/>
          <w:lang w:val="en-US" w:eastAsia="zh-CN"/>
        </w:rPr>
        <w:t>X</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lang w:val="en-US" w:eastAsia="zh-CN"/>
        </w:rPr>
        <w:t>X</w:t>
      </w:r>
      <w:r>
        <w:rPr>
          <w:rFonts w:hint="eastAsia" w:asciiTheme="minorEastAsia" w:hAnsiTheme="minorEastAsia" w:eastAsiaTheme="minorEastAsia" w:cstheme="minorEastAsia"/>
          <w:sz w:val="21"/>
          <w:szCs w:val="21"/>
        </w:rPr>
        <w:t>日（具体日期可根据标准发布时间合理确定）。</w:t>
      </w:r>
    </w:p>
    <w:p w14:paraId="08157DC5">
      <w:pPr>
        <w:spacing w:before="380" w:after="140" w:line="288" w:lineRule="auto"/>
        <w:ind w:left="0"/>
        <w:jc w:val="left"/>
        <w:outlineLvl w:val="0"/>
        <w:rPr>
          <w:rFonts w:hint="eastAsia" w:asciiTheme="minorEastAsia" w:hAnsiTheme="minorEastAsia" w:eastAsiaTheme="minorEastAsia" w:cstheme="minorEastAsia"/>
          <w:sz w:val="22"/>
          <w:szCs w:val="22"/>
        </w:rPr>
      </w:pPr>
      <w:bookmarkStart w:id="24" w:name="heading_24"/>
      <w:r>
        <w:rPr>
          <w:rFonts w:hint="eastAsia" w:asciiTheme="minorEastAsia" w:hAnsiTheme="minorEastAsia" w:eastAsiaTheme="minorEastAsia" w:cstheme="minorEastAsia"/>
          <w:b/>
          <w:sz w:val="22"/>
          <w:szCs w:val="22"/>
        </w:rPr>
        <w:t>十、其他应当说明的事项</w:t>
      </w:r>
      <w:bookmarkEnd w:id="24"/>
    </w:p>
    <w:p w14:paraId="261C25EA">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  本标准为团体标准，自愿采用。鼓励渔船AIS智能救生设备的生产、销售、使用及监管相关单位积极采用本标准，提升产品质量和行业安全水平。</w:t>
      </w:r>
    </w:p>
    <w:p w14:paraId="012219E5">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  本标准的制定过程中，得到了各参与单位及相关专家的大力支持和协助，在此表示感谢。</w:t>
      </w:r>
    </w:p>
    <w:p w14:paraId="24C6F1BA">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  随着渔业技术的不断发展和市场需求的变化，本标准将适时进行修订和完善，确保标准的先进性和适用性。</w:t>
      </w:r>
    </w:p>
    <w:p w14:paraId="27121C6F">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  本标准中涉及的未明确的时间节点，将在后续工作中结合项目推进情况进一步补充完善。</w:t>
      </w:r>
    </w:p>
    <w:sectPr>
      <w:footerReference r:id="rId3" w:type="default"/>
      <w:pgSz w:w="11905" w:h="1684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B4E636">
    <w:r>
      <w:rPr>
        <w:sz w:val="21"/>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5578F811">
                <w:pPr>
                  <w:pStyle w:val="2"/>
                </w:pPr>
                <w:r>
                  <w:fldChar w:fldCharType="begin"/>
                </w:r>
                <w:r>
                  <w:instrText xml:space="preserve"> PAGE  \* MERGEFORMAT </w:instrText>
                </w:r>
                <w:r>
                  <w:fldChar w:fldCharType="separate"/>
                </w:r>
                <w:r>
                  <w:t>1</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isplayHorizontalDrawingGridEvery w:val="1"/>
  <w:displayVerticalDrawingGridEvery w:val="1"/>
  <w:noPunctuationKerning w:val="1"/>
  <w:hdrShapeDefaults>
    <o:shapelayout v:ext="edit">
      <o:idmap v:ext="edit" data="3,4"/>
    </o:shapelayout>
  </w:hdrShapeDefaults>
  <w:compat>
    <w:doNotExpandShiftReturn/>
    <w:doNotWrapTextWithPunct/>
    <w:doNotUseEastAsianBreakRules/>
    <w:useFELayout/>
    <w:splitPgBreakAndParaMark/>
    <w:compatSetting w:name="compatibilityMode" w:uri="http://schemas.microsoft.com/office/word" w:val="12"/>
  </w:compat>
  <w:rsids>
    <w:rsidRoot w:val="00000000"/>
    <w:rsid w:val="078A3FC8"/>
    <w:rsid w:val="21FE57EE"/>
    <w:rsid w:val="37F64F5F"/>
    <w:rsid w:val="405B54E1"/>
    <w:rsid w:val="49A90311"/>
    <w:rsid w:val="54675F9B"/>
    <w:rsid w:val="653A1C6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Pages>
  <Words>2037</Words>
  <Characters>2081</Characters>
  <TotalTime>3</TotalTime>
  <ScaleCrop>false</ScaleCrop>
  <LinksUpToDate>false</LinksUpToDate>
  <CharactersWithSpaces>2091</CharactersWithSpaces>
  <Application>WPS Office_12.1.0.24031_F1E327BC-269C-435d-A152-05C5408002CA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2026-03-19T05:46:00Z</dcterms:created>
  <dc:creator>tuqf</dc:creator>
  <cp:lastModifiedBy>tuqf</cp:lastModifiedBy>
  <dcterms:modified xsi:type="dcterms:W3CDTF">2026-03-27T02:46:13Z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eyJoZGlkIjoiZTE0NTQyYjQ4ZDJiNTdkNDExMTgzOWE2NDRkOTdkYTIiLCJ1c2VySWQiOiIxOTAwNDIzNCJ9</vt:lpwstr>
  </property>
  <property fmtid="{D5CDD505-2E9C-101B-9397-08002B2CF9AE}" pid="3" name="KSOProductBuildVer">
    <vt:lpwstr>2052-12.1.0.24031</vt:lpwstr>
  </property>
  <property fmtid="{D5CDD505-2E9C-101B-9397-08002B2CF9AE}" pid="4" name="ICV">
    <vt:lpwstr>0D227903684B4648ACA0A8F2F7AA2013_12</vt:lpwstr>
  </property>
</Properties>
</file>